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70" w:rsidRPr="006B7350" w:rsidRDefault="006B7350" w:rsidP="006B7350">
      <w:pPr>
        <w:pStyle w:val="a3"/>
        <w:spacing w:after="120"/>
        <w:jc w:val="center"/>
        <w:rPr>
          <w:lang w:val="en-US"/>
        </w:rPr>
      </w:pPr>
      <w:r>
        <w:rPr>
          <w:lang w:val="en-US"/>
        </w:rPr>
        <w:t xml:space="preserve">Corporate action notice/Insider information disclosure </w:t>
      </w:r>
      <w:r>
        <w:rPr>
          <w:lang w:val="en-US"/>
        </w:rPr>
        <w:br/>
        <w:t>"Information on resolutions taken by the Board of Directors of IDGC of the South, PJSC"</w:t>
      </w:r>
    </w:p>
    <w:tbl>
      <w:tblPr>
        <w:tblStyle w:val="TableNormal0"/>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901"/>
        <w:gridCol w:w="1261"/>
        <w:gridCol w:w="868"/>
        <w:gridCol w:w="1137"/>
        <w:gridCol w:w="1152"/>
        <w:gridCol w:w="3098"/>
      </w:tblGrid>
      <w:tr w:rsidR="008916D6" w:rsidTr="008E0C05">
        <w:trPr>
          <w:trHeight w:val="20"/>
        </w:trPr>
        <w:tc>
          <w:tcPr>
            <w:tcW w:w="9641" w:type="dxa"/>
            <w:gridSpan w:val="7"/>
          </w:tcPr>
          <w:p w:rsidR="00D70670" w:rsidRDefault="006B7350" w:rsidP="00AB0451">
            <w:pPr>
              <w:pStyle w:val="TableParagraph"/>
              <w:ind w:left="0"/>
              <w:jc w:val="center"/>
              <w:rPr>
                <w:sz w:val="24"/>
              </w:rPr>
            </w:pPr>
            <w:r>
              <w:rPr>
                <w:sz w:val="24"/>
                <w:lang w:val="en-US"/>
              </w:rPr>
              <w:t>1. General</w:t>
            </w:r>
          </w:p>
        </w:tc>
      </w:tr>
      <w:tr w:rsidR="008916D6" w:rsidRPr="00A141C9" w:rsidTr="008E0C05">
        <w:trPr>
          <w:trHeight w:val="20"/>
        </w:trPr>
        <w:tc>
          <w:tcPr>
            <w:tcW w:w="4254" w:type="dxa"/>
            <w:gridSpan w:val="4"/>
          </w:tcPr>
          <w:p w:rsidR="00D70670" w:rsidRPr="006B7350" w:rsidRDefault="006B7350" w:rsidP="008E0C05">
            <w:pPr>
              <w:pStyle w:val="TableParagraph"/>
              <w:ind w:left="0"/>
              <w:rPr>
                <w:sz w:val="24"/>
                <w:lang w:val="en-US"/>
              </w:rPr>
            </w:pPr>
            <w:r>
              <w:rPr>
                <w:sz w:val="24"/>
                <w:lang w:val="en-US"/>
              </w:rPr>
              <w:t>1.1. Full corporate name of the Issuer:</w:t>
            </w:r>
          </w:p>
        </w:tc>
        <w:tc>
          <w:tcPr>
            <w:tcW w:w="5387" w:type="dxa"/>
            <w:gridSpan w:val="3"/>
          </w:tcPr>
          <w:p w:rsidR="00D70670" w:rsidRPr="006B7350" w:rsidRDefault="006B7350" w:rsidP="008E0C05">
            <w:pPr>
              <w:pStyle w:val="TableParagraph"/>
              <w:tabs>
                <w:tab w:val="left" w:pos="2083"/>
                <w:tab w:val="left" w:pos="4193"/>
              </w:tabs>
              <w:ind w:left="0"/>
              <w:rPr>
                <w:b/>
                <w:sz w:val="24"/>
                <w:lang w:val="en-US"/>
              </w:rPr>
            </w:pPr>
            <w:r>
              <w:rPr>
                <w:b/>
                <w:sz w:val="24"/>
                <w:lang w:val="en-US"/>
              </w:rPr>
              <w:t>Public Joint Stock Company</w:t>
            </w:r>
          </w:p>
          <w:p w:rsidR="00D70670" w:rsidRPr="006B7350" w:rsidRDefault="006B7350" w:rsidP="008E0C05">
            <w:pPr>
              <w:pStyle w:val="TableParagraph"/>
              <w:tabs>
                <w:tab w:val="left" w:pos="3103"/>
              </w:tabs>
              <w:ind w:left="0"/>
              <w:rPr>
                <w:b/>
                <w:sz w:val="24"/>
                <w:lang w:val="en-US"/>
              </w:rPr>
            </w:pPr>
            <w:r>
              <w:rPr>
                <w:b/>
                <w:sz w:val="24"/>
                <w:lang w:val="en-US"/>
              </w:rPr>
              <w:t>Interregional Distribution Grid Company of the South</w:t>
            </w:r>
          </w:p>
        </w:tc>
      </w:tr>
      <w:tr w:rsidR="008916D6" w:rsidRPr="006B7350" w:rsidTr="008E0C05">
        <w:trPr>
          <w:trHeight w:val="20"/>
        </w:trPr>
        <w:tc>
          <w:tcPr>
            <w:tcW w:w="4254" w:type="dxa"/>
            <w:gridSpan w:val="4"/>
          </w:tcPr>
          <w:p w:rsidR="00D70670" w:rsidRPr="006B7350" w:rsidRDefault="006B7350" w:rsidP="008E0C05">
            <w:pPr>
              <w:pStyle w:val="TableParagraph"/>
              <w:tabs>
                <w:tab w:val="left" w:pos="2935"/>
              </w:tabs>
              <w:ind w:left="0"/>
              <w:rPr>
                <w:sz w:val="24"/>
                <w:lang w:val="en-US"/>
              </w:rPr>
            </w:pPr>
            <w:r>
              <w:rPr>
                <w:sz w:val="24"/>
                <w:lang w:val="en-US"/>
              </w:rPr>
              <w:t>1.2. Abbreviated corporate name of the Issuer:</w:t>
            </w:r>
          </w:p>
        </w:tc>
        <w:tc>
          <w:tcPr>
            <w:tcW w:w="5387" w:type="dxa"/>
            <w:gridSpan w:val="3"/>
          </w:tcPr>
          <w:p w:rsidR="00D70670" w:rsidRPr="006B7350" w:rsidRDefault="006B7350" w:rsidP="008E0C05">
            <w:pPr>
              <w:pStyle w:val="TableParagraph"/>
              <w:ind w:left="0"/>
              <w:rPr>
                <w:b/>
                <w:sz w:val="24"/>
                <w:lang w:val="en-US"/>
              </w:rPr>
            </w:pPr>
            <w:r>
              <w:rPr>
                <w:b/>
                <w:sz w:val="24"/>
                <w:lang w:val="en-US"/>
              </w:rPr>
              <w:t>IDGC of the South, PJSC</w:t>
            </w:r>
          </w:p>
        </w:tc>
      </w:tr>
      <w:tr w:rsidR="008916D6" w:rsidRPr="006B7350" w:rsidTr="008E0C05">
        <w:trPr>
          <w:trHeight w:val="20"/>
        </w:trPr>
        <w:tc>
          <w:tcPr>
            <w:tcW w:w="4254" w:type="dxa"/>
            <w:gridSpan w:val="4"/>
          </w:tcPr>
          <w:p w:rsidR="00D70670" w:rsidRDefault="006B7350" w:rsidP="008E0C05">
            <w:pPr>
              <w:pStyle w:val="TableParagraph"/>
              <w:ind w:left="0"/>
              <w:rPr>
                <w:sz w:val="24"/>
              </w:rPr>
            </w:pPr>
            <w:r>
              <w:rPr>
                <w:sz w:val="24"/>
                <w:lang w:val="en-US"/>
              </w:rPr>
              <w:t>1.3. Location of the Issuer:</w:t>
            </w:r>
          </w:p>
        </w:tc>
        <w:tc>
          <w:tcPr>
            <w:tcW w:w="5387" w:type="dxa"/>
            <w:gridSpan w:val="3"/>
          </w:tcPr>
          <w:p w:rsidR="00D70670" w:rsidRPr="006B7350" w:rsidRDefault="006B7350" w:rsidP="008E0C05">
            <w:pPr>
              <w:pStyle w:val="TableParagraph"/>
              <w:ind w:left="0"/>
              <w:rPr>
                <w:b/>
                <w:sz w:val="24"/>
                <w:lang w:val="en-US"/>
              </w:rPr>
            </w:pPr>
            <w:r>
              <w:rPr>
                <w:b/>
                <w:sz w:val="24"/>
                <w:lang w:val="en-US"/>
              </w:rPr>
              <w:t>Rostov-on-Don, Russian Federation</w:t>
            </w:r>
          </w:p>
        </w:tc>
      </w:tr>
      <w:tr w:rsidR="008916D6" w:rsidTr="008E0C05">
        <w:trPr>
          <w:trHeight w:val="20"/>
        </w:trPr>
        <w:tc>
          <w:tcPr>
            <w:tcW w:w="4254" w:type="dxa"/>
            <w:gridSpan w:val="4"/>
          </w:tcPr>
          <w:p w:rsidR="00D70670" w:rsidRDefault="006B7350" w:rsidP="008E0C05">
            <w:pPr>
              <w:pStyle w:val="TableParagraph"/>
              <w:ind w:left="0"/>
              <w:rPr>
                <w:sz w:val="24"/>
              </w:rPr>
            </w:pPr>
            <w:r>
              <w:rPr>
                <w:sz w:val="24"/>
                <w:lang w:val="en-US"/>
              </w:rPr>
              <w:t>1.4. OGRN of the Issuer:</w:t>
            </w:r>
          </w:p>
        </w:tc>
        <w:tc>
          <w:tcPr>
            <w:tcW w:w="5387" w:type="dxa"/>
            <w:gridSpan w:val="3"/>
          </w:tcPr>
          <w:p w:rsidR="00D70670" w:rsidRDefault="006B7350" w:rsidP="008E0C05">
            <w:pPr>
              <w:pStyle w:val="TableParagraph"/>
              <w:ind w:left="0"/>
              <w:rPr>
                <w:b/>
                <w:sz w:val="24"/>
              </w:rPr>
            </w:pPr>
            <w:r>
              <w:rPr>
                <w:b/>
                <w:sz w:val="24"/>
                <w:lang w:val="en-US"/>
              </w:rPr>
              <w:t>1076164009096</w:t>
            </w:r>
          </w:p>
        </w:tc>
      </w:tr>
      <w:tr w:rsidR="008916D6" w:rsidTr="008E0C05">
        <w:trPr>
          <w:trHeight w:val="20"/>
        </w:trPr>
        <w:tc>
          <w:tcPr>
            <w:tcW w:w="4254" w:type="dxa"/>
            <w:gridSpan w:val="4"/>
          </w:tcPr>
          <w:p w:rsidR="00D70670" w:rsidRDefault="006B7350" w:rsidP="008E0C05">
            <w:pPr>
              <w:pStyle w:val="TableParagraph"/>
              <w:ind w:left="0"/>
              <w:rPr>
                <w:sz w:val="24"/>
              </w:rPr>
            </w:pPr>
            <w:r>
              <w:rPr>
                <w:sz w:val="24"/>
                <w:lang w:val="en-US"/>
              </w:rPr>
              <w:t>1.5. TIN of the Issuer:</w:t>
            </w:r>
          </w:p>
        </w:tc>
        <w:tc>
          <w:tcPr>
            <w:tcW w:w="5387" w:type="dxa"/>
            <w:gridSpan w:val="3"/>
          </w:tcPr>
          <w:p w:rsidR="00D70670" w:rsidRDefault="006B7350" w:rsidP="008E0C05">
            <w:pPr>
              <w:pStyle w:val="TableParagraph"/>
              <w:ind w:left="0"/>
              <w:rPr>
                <w:b/>
                <w:sz w:val="24"/>
              </w:rPr>
            </w:pPr>
            <w:r>
              <w:rPr>
                <w:b/>
                <w:sz w:val="24"/>
                <w:lang w:val="en-US"/>
              </w:rPr>
              <w:t>6164266561</w:t>
            </w:r>
          </w:p>
        </w:tc>
      </w:tr>
      <w:tr w:rsidR="008916D6" w:rsidTr="008E0C05">
        <w:trPr>
          <w:trHeight w:val="20"/>
        </w:trPr>
        <w:tc>
          <w:tcPr>
            <w:tcW w:w="4254" w:type="dxa"/>
            <w:gridSpan w:val="4"/>
          </w:tcPr>
          <w:p w:rsidR="00D70670" w:rsidRPr="006B7350" w:rsidRDefault="006B7350" w:rsidP="008E0C05">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5387" w:type="dxa"/>
            <w:gridSpan w:val="3"/>
          </w:tcPr>
          <w:p w:rsidR="00D70670" w:rsidRDefault="006B7350" w:rsidP="008E0C05">
            <w:pPr>
              <w:pStyle w:val="TableParagraph"/>
              <w:ind w:left="0"/>
              <w:rPr>
                <w:b/>
                <w:sz w:val="24"/>
              </w:rPr>
            </w:pPr>
            <w:r>
              <w:rPr>
                <w:b/>
                <w:sz w:val="24"/>
                <w:lang w:val="en-US"/>
              </w:rPr>
              <w:t>34956-Е</w:t>
            </w:r>
          </w:p>
        </w:tc>
      </w:tr>
      <w:tr w:rsidR="008916D6" w:rsidTr="008E0C05">
        <w:trPr>
          <w:trHeight w:val="20"/>
        </w:trPr>
        <w:tc>
          <w:tcPr>
            <w:tcW w:w="4254" w:type="dxa"/>
            <w:gridSpan w:val="4"/>
          </w:tcPr>
          <w:p w:rsidR="00D70670" w:rsidRPr="006B7350" w:rsidRDefault="006B7350" w:rsidP="008E0C05">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5387" w:type="dxa"/>
            <w:gridSpan w:val="3"/>
          </w:tcPr>
          <w:p w:rsidR="008E0C05" w:rsidRDefault="00A141C9" w:rsidP="008E0C05">
            <w:pPr>
              <w:pStyle w:val="TableParagraph"/>
              <w:ind w:left="0"/>
              <w:rPr>
                <w:b/>
                <w:sz w:val="24"/>
              </w:rPr>
            </w:pPr>
            <w:hyperlink r:id="rId7" w:history="1">
              <w:r w:rsidR="006B7350">
                <w:rPr>
                  <w:b/>
                  <w:sz w:val="24"/>
                  <w:u w:val="thick"/>
                  <w:lang w:val="en-US"/>
                </w:rPr>
                <w:t>http</w:t>
              </w:r>
              <w:r w:rsidR="006B7350" w:rsidRPr="006B7350">
                <w:rPr>
                  <w:b/>
                  <w:sz w:val="24"/>
                  <w:u w:val="thick"/>
                </w:rPr>
                <w:t>://</w:t>
              </w:r>
              <w:r w:rsidR="006B7350">
                <w:rPr>
                  <w:b/>
                  <w:sz w:val="24"/>
                  <w:u w:val="thick"/>
                  <w:lang w:val="en-US"/>
                </w:rPr>
                <w:t>www</w:t>
              </w:r>
              <w:r w:rsidR="006B7350" w:rsidRPr="006B7350">
                <w:rPr>
                  <w:b/>
                  <w:sz w:val="24"/>
                  <w:u w:val="thick"/>
                </w:rPr>
                <w:t>.</w:t>
              </w:r>
              <w:r w:rsidR="006B7350">
                <w:rPr>
                  <w:b/>
                  <w:sz w:val="24"/>
                  <w:u w:val="thick"/>
                  <w:lang w:val="en-US"/>
                </w:rPr>
                <w:t>mrsk</w:t>
              </w:r>
              <w:r w:rsidR="006B7350" w:rsidRPr="006B7350">
                <w:rPr>
                  <w:b/>
                  <w:sz w:val="24"/>
                  <w:u w:val="thick"/>
                </w:rPr>
                <w:t>-</w:t>
              </w:r>
              <w:r w:rsidR="006B7350">
                <w:rPr>
                  <w:b/>
                  <w:sz w:val="24"/>
                  <w:u w:val="thick"/>
                  <w:lang w:val="en-US"/>
                </w:rPr>
                <w:t>yuga</w:t>
              </w:r>
              <w:r w:rsidR="006B7350" w:rsidRPr="006B7350">
                <w:rPr>
                  <w:b/>
                  <w:sz w:val="24"/>
                  <w:u w:val="thick"/>
                </w:rPr>
                <w:t>.</w:t>
              </w:r>
              <w:r w:rsidR="006B7350">
                <w:rPr>
                  <w:b/>
                  <w:sz w:val="24"/>
                  <w:u w:val="thick"/>
                  <w:lang w:val="en-US"/>
                </w:rPr>
                <w:t>ru</w:t>
              </w:r>
            </w:hyperlink>
            <w:r w:rsidR="006B7350" w:rsidRPr="006B7350">
              <w:rPr>
                <w:b/>
                <w:sz w:val="24"/>
              </w:rPr>
              <w:t xml:space="preserve"> </w:t>
            </w:r>
          </w:p>
          <w:p w:rsidR="00D70670" w:rsidRPr="008E0C05" w:rsidRDefault="00A141C9" w:rsidP="008E0C05">
            <w:pPr>
              <w:pStyle w:val="TableParagraph"/>
              <w:ind w:left="0"/>
              <w:rPr>
                <w:b/>
                <w:sz w:val="24"/>
              </w:rPr>
            </w:pPr>
            <w:hyperlink r:id="rId8" w:history="1">
              <w:r w:rsidR="006B7350">
                <w:rPr>
                  <w:b/>
                  <w:sz w:val="24"/>
                  <w:u w:val="thick"/>
                  <w:lang w:val="en-US"/>
                </w:rPr>
                <w:t>http</w:t>
              </w:r>
              <w:r w:rsidR="006B7350" w:rsidRPr="006B7350">
                <w:rPr>
                  <w:b/>
                  <w:sz w:val="24"/>
                  <w:u w:val="thick"/>
                </w:rPr>
                <w:t>://</w:t>
              </w:r>
              <w:r w:rsidR="006B7350">
                <w:rPr>
                  <w:b/>
                  <w:sz w:val="24"/>
                  <w:u w:val="thick"/>
                  <w:lang w:val="en-US"/>
                </w:rPr>
                <w:t>www</w:t>
              </w:r>
              <w:r w:rsidR="006B7350" w:rsidRPr="006B7350">
                <w:rPr>
                  <w:b/>
                  <w:sz w:val="24"/>
                  <w:u w:val="thick"/>
                </w:rPr>
                <w:t>.</w:t>
              </w:r>
              <w:r w:rsidR="006B7350">
                <w:rPr>
                  <w:b/>
                  <w:sz w:val="24"/>
                  <w:u w:val="thick"/>
                  <w:lang w:val="en-US"/>
                </w:rPr>
                <w:t>e</w:t>
              </w:r>
              <w:r w:rsidR="006B7350" w:rsidRPr="006B7350">
                <w:rPr>
                  <w:b/>
                  <w:sz w:val="24"/>
                  <w:u w:val="thick"/>
                </w:rPr>
                <w:t>-</w:t>
              </w:r>
            </w:hyperlink>
            <w:hyperlink r:id="rId9" w:history="1">
              <w:r w:rsidR="006B7350" w:rsidRPr="008E0C05">
                <w:rPr>
                  <w:b/>
                  <w:sz w:val="24"/>
                  <w:u w:val="thick"/>
                  <w:lang w:val="en-US"/>
                </w:rPr>
                <w:t>disclosure</w:t>
              </w:r>
              <w:r w:rsidR="006B7350" w:rsidRPr="006B7350">
                <w:rPr>
                  <w:b/>
                  <w:sz w:val="24"/>
                  <w:u w:val="thick"/>
                </w:rPr>
                <w:t>.</w:t>
              </w:r>
              <w:r w:rsidR="006B7350" w:rsidRPr="008E0C05">
                <w:rPr>
                  <w:b/>
                  <w:sz w:val="24"/>
                  <w:u w:val="thick"/>
                  <w:lang w:val="en-US"/>
                </w:rPr>
                <w:t>ru</w:t>
              </w:r>
              <w:r w:rsidR="006B7350" w:rsidRPr="006B7350">
                <w:rPr>
                  <w:b/>
                  <w:sz w:val="24"/>
                  <w:u w:val="thick"/>
                </w:rPr>
                <w:t>/</w:t>
              </w:r>
              <w:r w:rsidR="006B7350" w:rsidRPr="008E0C05">
                <w:rPr>
                  <w:b/>
                  <w:sz w:val="24"/>
                  <w:u w:val="thick"/>
                  <w:lang w:val="en-US"/>
                </w:rPr>
                <w:t>portal</w:t>
              </w:r>
              <w:r w:rsidR="006B7350" w:rsidRPr="006B7350">
                <w:rPr>
                  <w:b/>
                  <w:sz w:val="24"/>
                  <w:u w:val="thick"/>
                </w:rPr>
                <w:t>/</w:t>
              </w:r>
              <w:r w:rsidR="006B7350" w:rsidRPr="008E0C05">
                <w:rPr>
                  <w:b/>
                  <w:sz w:val="24"/>
                  <w:u w:val="thick"/>
                  <w:lang w:val="en-US"/>
                </w:rPr>
                <w:t>company</w:t>
              </w:r>
              <w:r w:rsidR="006B7350" w:rsidRPr="006B7350">
                <w:rPr>
                  <w:b/>
                  <w:sz w:val="24"/>
                  <w:u w:val="thick"/>
                </w:rPr>
                <w:t>.</w:t>
              </w:r>
              <w:r w:rsidR="006B7350" w:rsidRPr="008E0C05">
                <w:rPr>
                  <w:b/>
                  <w:sz w:val="24"/>
                  <w:u w:val="thick"/>
                  <w:lang w:val="en-US"/>
                </w:rPr>
                <w:t>aspx</w:t>
              </w:r>
              <w:r w:rsidR="006B7350" w:rsidRPr="006B7350">
                <w:rPr>
                  <w:b/>
                  <w:sz w:val="24"/>
                  <w:u w:val="thick"/>
                </w:rPr>
                <w:t>?</w:t>
              </w:r>
              <w:r w:rsidR="006B7350" w:rsidRPr="008E0C05">
                <w:rPr>
                  <w:b/>
                  <w:sz w:val="24"/>
                  <w:u w:val="thick"/>
                  <w:lang w:val="en-US"/>
                </w:rPr>
                <w:t>id</w:t>
              </w:r>
              <w:r w:rsidR="006B7350" w:rsidRPr="006B7350">
                <w:rPr>
                  <w:b/>
                  <w:sz w:val="24"/>
                  <w:u w:val="thick"/>
                </w:rPr>
                <w:t>=11999</w:t>
              </w:r>
            </w:hyperlink>
          </w:p>
        </w:tc>
      </w:tr>
      <w:tr w:rsidR="008916D6" w:rsidTr="008E0C05">
        <w:trPr>
          <w:trHeight w:val="20"/>
        </w:trPr>
        <w:tc>
          <w:tcPr>
            <w:tcW w:w="4254" w:type="dxa"/>
            <w:gridSpan w:val="4"/>
          </w:tcPr>
          <w:p w:rsidR="00D70670" w:rsidRPr="006B7350" w:rsidRDefault="006B7350" w:rsidP="008E0C05">
            <w:pPr>
              <w:pStyle w:val="TableParagraph"/>
              <w:ind w:left="0"/>
              <w:jc w:val="both"/>
              <w:rPr>
                <w:sz w:val="24"/>
                <w:lang w:val="en-US"/>
              </w:rPr>
            </w:pPr>
            <w:r>
              <w:rPr>
                <w:sz w:val="24"/>
                <w:lang w:val="en-US"/>
              </w:rPr>
              <w:t>1.8. Event effective date (material fact) of which the message is composed (if applicable):</w:t>
            </w:r>
          </w:p>
        </w:tc>
        <w:tc>
          <w:tcPr>
            <w:tcW w:w="5387" w:type="dxa"/>
            <w:gridSpan w:val="3"/>
            <w:vAlign w:val="center"/>
          </w:tcPr>
          <w:p w:rsidR="00D70670" w:rsidRDefault="006B7350" w:rsidP="008E0C05">
            <w:pPr>
              <w:pStyle w:val="TableParagraph"/>
              <w:ind w:left="0"/>
              <w:rPr>
                <w:b/>
                <w:sz w:val="24"/>
              </w:rPr>
            </w:pPr>
            <w:r>
              <w:rPr>
                <w:b/>
                <w:sz w:val="24"/>
                <w:lang w:val="en-US"/>
              </w:rPr>
              <w:t>August 2, 2019</w:t>
            </w:r>
          </w:p>
        </w:tc>
      </w:tr>
      <w:tr w:rsidR="008916D6" w:rsidTr="008E0C05">
        <w:trPr>
          <w:trHeight w:val="20"/>
        </w:trPr>
        <w:tc>
          <w:tcPr>
            <w:tcW w:w="9641" w:type="dxa"/>
            <w:gridSpan w:val="7"/>
          </w:tcPr>
          <w:p w:rsidR="00D70670" w:rsidRDefault="006B7350" w:rsidP="008E0C05">
            <w:pPr>
              <w:pStyle w:val="TableParagraph"/>
              <w:ind w:left="0"/>
              <w:jc w:val="center"/>
              <w:rPr>
                <w:sz w:val="24"/>
              </w:rPr>
            </w:pPr>
            <w:r>
              <w:rPr>
                <w:sz w:val="24"/>
                <w:lang w:val="en-US"/>
              </w:rPr>
              <w:t>2. Notice content</w:t>
            </w:r>
          </w:p>
        </w:tc>
      </w:tr>
      <w:tr w:rsidR="008916D6" w:rsidTr="008E0C05">
        <w:trPr>
          <w:trHeight w:val="20"/>
        </w:trPr>
        <w:tc>
          <w:tcPr>
            <w:tcW w:w="9641" w:type="dxa"/>
            <w:gridSpan w:val="7"/>
          </w:tcPr>
          <w:p w:rsidR="00D70670" w:rsidRPr="006B7350" w:rsidRDefault="006B7350" w:rsidP="008E0C05">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rsidR="00D70670" w:rsidRPr="006B7350" w:rsidRDefault="00A141C9" w:rsidP="008E0C05">
            <w:pPr>
              <w:pStyle w:val="TableParagraph"/>
              <w:ind w:left="0"/>
              <w:rPr>
                <w:b/>
                <w:lang w:val="en-US"/>
              </w:rPr>
            </w:pPr>
          </w:p>
          <w:p w:rsidR="00D70670" w:rsidRPr="006B7350" w:rsidRDefault="006B7350" w:rsidP="008E0C05">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D70670" w:rsidRPr="006B7350" w:rsidRDefault="006B7350" w:rsidP="008E0C05">
            <w:pPr>
              <w:pStyle w:val="TableParagraph"/>
              <w:ind w:left="0"/>
              <w:jc w:val="both"/>
              <w:rPr>
                <w:sz w:val="24"/>
                <w:lang w:val="en-US"/>
              </w:rPr>
            </w:pPr>
            <w:r>
              <w:rPr>
                <w:sz w:val="24"/>
                <w:lang w:val="en-US"/>
              </w:rPr>
              <w:t>"PRO" is 5 votes;</w:t>
            </w:r>
          </w:p>
          <w:p w:rsidR="00D70670" w:rsidRPr="006B7350" w:rsidRDefault="006B7350" w:rsidP="008E0C05">
            <w:pPr>
              <w:pStyle w:val="TableParagraph"/>
              <w:ind w:left="0"/>
              <w:jc w:val="both"/>
              <w:rPr>
                <w:sz w:val="24"/>
                <w:lang w:val="en-US"/>
              </w:rPr>
            </w:pPr>
            <w:r>
              <w:rPr>
                <w:sz w:val="24"/>
                <w:lang w:val="en-US"/>
              </w:rPr>
              <w:t>"CON" is 2 votes;</w:t>
            </w:r>
          </w:p>
          <w:p w:rsidR="00D70670" w:rsidRPr="006B7350" w:rsidRDefault="006B7350" w:rsidP="008E0C05">
            <w:pPr>
              <w:pStyle w:val="TableParagraph"/>
              <w:ind w:left="0"/>
              <w:jc w:val="both"/>
              <w:rPr>
                <w:sz w:val="24"/>
                <w:lang w:val="en-US"/>
              </w:rPr>
            </w:pPr>
            <w:r>
              <w:rPr>
                <w:sz w:val="24"/>
                <w:lang w:val="en-US"/>
              </w:rPr>
              <w:t>"ABSTAIN" is 1 vote.</w:t>
            </w:r>
          </w:p>
          <w:p w:rsidR="00D70670" w:rsidRPr="006B7350" w:rsidRDefault="006B7350" w:rsidP="008E0C05">
            <w:pPr>
              <w:pStyle w:val="TableParagraph"/>
              <w:ind w:left="0"/>
              <w:jc w:val="both"/>
              <w:rPr>
                <w:i/>
                <w:sz w:val="24"/>
                <w:lang w:val="en-US"/>
              </w:rPr>
            </w:pPr>
            <w:r>
              <w:rPr>
                <w:i/>
                <w:sz w:val="24"/>
                <w:lang w:val="en-US"/>
              </w:rPr>
              <w:t>In accordance with p. 3, Article 83 of the Federal Law "On Joint Stock Companies", members of the Board of Directors Pavel Vladimirovich Grebtsov, Olga Andreevna Sergeeva, Boris Borisovich Ebzeev do not take part in voting on this issue.</w:t>
            </w:r>
          </w:p>
          <w:p w:rsidR="00D70670" w:rsidRPr="006B7350" w:rsidRDefault="006B7350" w:rsidP="008E0C05">
            <w:pPr>
              <w:pStyle w:val="TableParagraph"/>
              <w:ind w:left="0"/>
              <w:jc w:val="both"/>
              <w:rPr>
                <w:i/>
                <w:sz w:val="24"/>
                <w:lang w:val="en-US"/>
              </w:rPr>
            </w:pPr>
            <w:r>
              <w:rPr>
                <w:i/>
                <w:sz w:val="24"/>
                <w:lang w:val="en-US"/>
              </w:rPr>
              <w:t>On the agenda issue No. 1 of the meeting of the Board of Directors of IDGC of the South, PJSC, a Special Opinion of Vitaly Yurievich Zarhin, Member of the Board of Directors of the Company was received (Annex No. 10 to the Minutes of the Company's Board of Directors).</w:t>
            </w:r>
          </w:p>
          <w:p w:rsidR="00D70670" w:rsidRPr="006B7350" w:rsidRDefault="00A141C9" w:rsidP="008E0C05">
            <w:pPr>
              <w:pStyle w:val="TableParagraph"/>
              <w:ind w:left="0"/>
              <w:rPr>
                <w:b/>
                <w:sz w:val="24"/>
                <w:lang w:val="en-US"/>
              </w:rPr>
            </w:pPr>
          </w:p>
          <w:p w:rsidR="00D70670" w:rsidRPr="006B7350" w:rsidRDefault="006B7350" w:rsidP="008E0C05">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rsidR="00D70670" w:rsidRPr="006B7350" w:rsidRDefault="006B7350" w:rsidP="008E0C05">
            <w:pPr>
              <w:pStyle w:val="TableParagraph"/>
              <w:ind w:left="0"/>
              <w:jc w:val="both"/>
              <w:rPr>
                <w:sz w:val="24"/>
                <w:lang w:val="en-US"/>
              </w:rPr>
            </w:pPr>
            <w:r>
              <w:rPr>
                <w:sz w:val="24"/>
                <w:lang w:val="en-US"/>
              </w:rPr>
              <w:t>"PRO" is 8 votes;</w:t>
            </w:r>
          </w:p>
          <w:p w:rsidR="00D70670" w:rsidRPr="006B7350" w:rsidRDefault="006B7350" w:rsidP="008E0C05">
            <w:pPr>
              <w:pStyle w:val="TableParagraph"/>
              <w:ind w:left="0"/>
              <w:jc w:val="both"/>
              <w:rPr>
                <w:sz w:val="24"/>
                <w:lang w:val="en-US"/>
              </w:rPr>
            </w:pPr>
            <w:r>
              <w:rPr>
                <w:sz w:val="24"/>
                <w:lang w:val="en-US"/>
              </w:rPr>
              <w:t>"CON" is 1 vote;</w:t>
            </w:r>
          </w:p>
          <w:p w:rsidR="00D70670" w:rsidRPr="006B7350" w:rsidRDefault="006B7350" w:rsidP="008E0C05">
            <w:pPr>
              <w:pStyle w:val="TableParagraph"/>
              <w:ind w:left="0"/>
              <w:jc w:val="both"/>
              <w:rPr>
                <w:sz w:val="24"/>
                <w:lang w:val="en-US"/>
              </w:rPr>
            </w:pPr>
            <w:r>
              <w:rPr>
                <w:sz w:val="24"/>
                <w:lang w:val="en-US"/>
              </w:rPr>
              <w:t>"ABSTAIN" is 2 votes.</w:t>
            </w:r>
          </w:p>
          <w:p w:rsidR="00D70670" w:rsidRPr="006B7350" w:rsidRDefault="00A141C9" w:rsidP="008E0C05">
            <w:pPr>
              <w:pStyle w:val="TableParagraph"/>
              <w:ind w:left="0"/>
              <w:rPr>
                <w:b/>
                <w:sz w:val="24"/>
                <w:lang w:val="en-US"/>
              </w:rPr>
            </w:pPr>
          </w:p>
          <w:p w:rsidR="00D70670" w:rsidRPr="006B7350" w:rsidRDefault="006B7350" w:rsidP="008E0C05">
            <w:pPr>
              <w:pStyle w:val="TableParagraph"/>
              <w:ind w:left="0"/>
              <w:jc w:val="both"/>
              <w:rPr>
                <w:sz w:val="24"/>
                <w:lang w:val="en-US"/>
              </w:rPr>
            </w:pPr>
            <w:r>
              <w:rPr>
                <w:sz w:val="24"/>
                <w:lang w:val="en-US"/>
              </w:rPr>
              <w:t xml:space="preserve">Voting results </w:t>
            </w:r>
            <w:r>
              <w:rPr>
                <w:b/>
                <w:sz w:val="24"/>
                <w:lang w:val="en-US"/>
              </w:rPr>
              <w:t>on issue No. 3</w:t>
            </w:r>
            <w:r>
              <w:rPr>
                <w:sz w:val="24"/>
                <w:lang w:val="en-US"/>
              </w:rPr>
              <w:t xml:space="preserve"> of the agenda:</w:t>
            </w:r>
          </w:p>
          <w:p w:rsidR="00D70670" w:rsidRPr="006B7350" w:rsidRDefault="006B7350" w:rsidP="008E0C05">
            <w:pPr>
              <w:pStyle w:val="TableParagraph"/>
              <w:ind w:left="0"/>
              <w:jc w:val="both"/>
              <w:rPr>
                <w:sz w:val="24"/>
                <w:lang w:val="en-US"/>
              </w:rPr>
            </w:pPr>
            <w:r>
              <w:rPr>
                <w:sz w:val="24"/>
                <w:lang w:val="en-US"/>
              </w:rPr>
              <w:t>"PRO" is 11 votes;</w:t>
            </w:r>
          </w:p>
          <w:p w:rsidR="00D70670" w:rsidRPr="006B7350" w:rsidRDefault="006B7350" w:rsidP="008E0C05">
            <w:pPr>
              <w:pStyle w:val="TableParagraph"/>
              <w:ind w:left="0"/>
              <w:jc w:val="both"/>
              <w:rPr>
                <w:sz w:val="24"/>
                <w:lang w:val="en-US"/>
              </w:rPr>
            </w:pPr>
            <w:r>
              <w:rPr>
                <w:sz w:val="24"/>
                <w:lang w:val="en-US"/>
              </w:rPr>
              <w:t>"CON" is 0 votes;</w:t>
            </w:r>
          </w:p>
          <w:p w:rsidR="00D70670" w:rsidRDefault="006B7350" w:rsidP="008E0C05">
            <w:pPr>
              <w:pStyle w:val="TableParagraph"/>
              <w:ind w:left="0"/>
              <w:jc w:val="both"/>
              <w:rPr>
                <w:sz w:val="24"/>
              </w:rPr>
            </w:pPr>
            <w:r>
              <w:rPr>
                <w:sz w:val="24"/>
                <w:lang w:val="en-US"/>
              </w:rPr>
              <w:t>"ABSTAIN" is 0 votes.</w:t>
            </w:r>
          </w:p>
        </w:tc>
      </w:tr>
      <w:tr w:rsidR="008916D6" w:rsidRPr="006B7350" w:rsidTr="008E0C05">
        <w:trPr>
          <w:trHeight w:val="20"/>
        </w:trPr>
        <w:tc>
          <w:tcPr>
            <w:tcW w:w="9641" w:type="dxa"/>
            <w:gridSpan w:val="7"/>
          </w:tcPr>
          <w:p w:rsidR="00D70670" w:rsidRPr="006B7350" w:rsidRDefault="006B7350" w:rsidP="008E0C05">
            <w:pPr>
              <w:pStyle w:val="TableParagraph"/>
              <w:tabs>
                <w:tab w:val="left" w:pos="595"/>
              </w:tabs>
              <w:ind w:left="0" w:firstLine="312"/>
              <w:rPr>
                <w:b/>
                <w:sz w:val="24"/>
                <w:lang w:val="en-US"/>
              </w:rPr>
            </w:pPr>
            <w:r>
              <w:rPr>
                <w:b/>
                <w:sz w:val="24"/>
                <w:lang w:val="en-US"/>
              </w:rPr>
              <w:t>Insider information disclosure on issue No. 1: On consent to execution of an interested party transaction.</w:t>
            </w:r>
          </w:p>
        </w:tc>
      </w:tr>
      <w:tr w:rsidR="008916D6" w:rsidRPr="006B7350" w:rsidTr="008E0C05">
        <w:trPr>
          <w:trHeight w:val="20"/>
        </w:trPr>
        <w:tc>
          <w:tcPr>
            <w:tcW w:w="9641" w:type="dxa"/>
            <w:gridSpan w:val="7"/>
          </w:tcPr>
          <w:p w:rsidR="00D70670" w:rsidRPr="006B7350" w:rsidRDefault="006B7350" w:rsidP="008E0C05">
            <w:pPr>
              <w:pStyle w:val="TableParagraph"/>
              <w:tabs>
                <w:tab w:val="left" w:pos="595"/>
              </w:tabs>
              <w:ind w:left="0" w:firstLine="312"/>
              <w:rPr>
                <w:sz w:val="24"/>
                <w:lang w:val="en-US"/>
              </w:rPr>
            </w:pPr>
            <w:r>
              <w:rPr>
                <w:sz w:val="24"/>
                <w:lang w:val="en-US"/>
              </w:rPr>
              <w:t>2.2.1. Resolution content adopted by the Issuer's Board of Directors:</w:t>
            </w:r>
          </w:p>
          <w:p w:rsidR="00D70670" w:rsidRPr="006B7350" w:rsidRDefault="006B7350" w:rsidP="008E0C05">
            <w:pPr>
              <w:pStyle w:val="TableParagraph"/>
              <w:tabs>
                <w:tab w:val="left" w:pos="595"/>
              </w:tabs>
              <w:ind w:left="0" w:firstLine="312"/>
              <w:jc w:val="both"/>
              <w:rPr>
                <w:sz w:val="24"/>
                <w:lang w:val="en-US"/>
              </w:rPr>
            </w:pPr>
            <w:r>
              <w:rPr>
                <w:sz w:val="24"/>
                <w:lang w:val="en-US"/>
              </w:rPr>
              <w:t>1. Determine the price of the property to be alienated under a sale and purchase agreement between IDGC of the South and FGC UES, PJSC, being an interested party transaction, in the amount of 285,981,234 (two hundred and eighty-five</w:t>
            </w:r>
          </w:p>
        </w:tc>
      </w:tr>
      <w:tr w:rsidR="008916D6" w:rsidRPr="006B7350" w:rsidTr="008E0C05">
        <w:trPr>
          <w:trHeight w:val="20"/>
        </w:trPr>
        <w:tc>
          <w:tcPr>
            <w:tcW w:w="9641" w:type="dxa"/>
            <w:gridSpan w:val="7"/>
          </w:tcPr>
          <w:p w:rsidR="00D70670" w:rsidRPr="006B7350" w:rsidRDefault="006B7350" w:rsidP="008E0C05">
            <w:pPr>
              <w:pStyle w:val="TableParagraph"/>
              <w:tabs>
                <w:tab w:val="left" w:pos="595"/>
              </w:tabs>
              <w:ind w:left="0" w:firstLine="312"/>
              <w:rPr>
                <w:sz w:val="24"/>
                <w:lang w:val="en-US"/>
              </w:rPr>
            </w:pPr>
            <w:r>
              <w:rPr>
                <w:sz w:val="24"/>
                <w:lang w:val="en-US"/>
              </w:rPr>
              <w:lastRenderedPageBreak/>
              <w:t>million nine hundred and eighty-one thousand two hundred and thirty-four) roubles and 65 kopecks, plus VAT in accordance with the current legislation of the Russian Federation.</w:t>
            </w:r>
          </w:p>
          <w:p w:rsidR="00D70670" w:rsidRPr="006B7350" w:rsidRDefault="006B7350" w:rsidP="008E0C05">
            <w:pPr>
              <w:pStyle w:val="TableParagraph"/>
              <w:tabs>
                <w:tab w:val="left" w:pos="595"/>
              </w:tabs>
              <w:ind w:left="0" w:firstLine="312"/>
              <w:jc w:val="both"/>
              <w:rPr>
                <w:sz w:val="24"/>
                <w:lang w:val="en-US"/>
              </w:rPr>
            </w:pPr>
            <w:r>
              <w:rPr>
                <w:sz w:val="24"/>
                <w:lang w:val="en-US"/>
              </w:rPr>
              <w:t>2. Give consent to the interested party transaction - property sale and purchase agreement between IDGC of the South, PJSC and FGC UES, PJSC (hereinafter - the Agreement), on the following material terms and conditions:</w:t>
            </w:r>
          </w:p>
          <w:p w:rsidR="00D70670" w:rsidRPr="006B7350" w:rsidRDefault="006B7350" w:rsidP="008E0C05">
            <w:pPr>
              <w:pStyle w:val="TableParagraph"/>
              <w:tabs>
                <w:tab w:val="left" w:pos="595"/>
              </w:tabs>
              <w:ind w:left="0" w:firstLine="312"/>
              <w:rPr>
                <w:sz w:val="24"/>
                <w:lang w:val="en-US"/>
              </w:rPr>
            </w:pPr>
            <w:r>
              <w:rPr>
                <w:sz w:val="24"/>
                <w:lang w:val="en-US"/>
              </w:rPr>
              <w:t>Parties to the Agreement:</w:t>
            </w:r>
          </w:p>
          <w:p w:rsidR="00D70670" w:rsidRPr="006B7350" w:rsidRDefault="006B7350" w:rsidP="008E0C05">
            <w:pPr>
              <w:pStyle w:val="TableParagraph"/>
              <w:tabs>
                <w:tab w:val="left" w:pos="595"/>
              </w:tabs>
              <w:ind w:left="0" w:firstLine="312"/>
              <w:jc w:val="both"/>
              <w:rPr>
                <w:sz w:val="24"/>
                <w:lang w:val="en-US"/>
              </w:rPr>
            </w:pPr>
            <w:r>
              <w:rPr>
                <w:sz w:val="24"/>
                <w:lang w:val="en-US"/>
              </w:rPr>
              <w:t>Vendor - Public Joint Stock Company "Interregional Distribution Grid Company of the South”;</w:t>
            </w:r>
          </w:p>
          <w:p w:rsidR="00D70670" w:rsidRPr="006B7350" w:rsidRDefault="006B7350" w:rsidP="008E0C05">
            <w:pPr>
              <w:pStyle w:val="TableParagraph"/>
              <w:tabs>
                <w:tab w:val="left" w:pos="595"/>
              </w:tabs>
              <w:ind w:left="0" w:firstLine="312"/>
              <w:jc w:val="both"/>
              <w:rPr>
                <w:sz w:val="24"/>
                <w:lang w:val="en-US"/>
              </w:rPr>
            </w:pPr>
            <w:r>
              <w:rPr>
                <w:sz w:val="24"/>
                <w:lang w:val="en-US"/>
              </w:rPr>
              <w:t>Consumer - Public Joint Stock Company “Federal Grid Company of the Unified Energy System”.</w:t>
            </w:r>
          </w:p>
          <w:p w:rsidR="00D70670" w:rsidRPr="006B7350" w:rsidRDefault="006B7350" w:rsidP="008E0C05">
            <w:pPr>
              <w:pStyle w:val="TableParagraph"/>
              <w:tabs>
                <w:tab w:val="left" w:pos="595"/>
              </w:tabs>
              <w:ind w:left="0" w:firstLine="312"/>
              <w:rPr>
                <w:sz w:val="24"/>
                <w:lang w:val="en-US"/>
              </w:rPr>
            </w:pPr>
            <w:r>
              <w:rPr>
                <w:sz w:val="24"/>
                <w:lang w:val="en-US"/>
              </w:rPr>
              <w:t>Subject matter of the Agreement:</w:t>
            </w:r>
          </w:p>
          <w:p w:rsidR="00D70670" w:rsidRPr="006B7350" w:rsidRDefault="006B7350" w:rsidP="008E0C05">
            <w:pPr>
              <w:pStyle w:val="TableParagraph"/>
              <w:tabs>
                <w:tab w:val="left" w:pos="595"/>
              </w:tabs>
              <w:ind w:left="0" w:firstLine="312"/>
              <w:jc w:val="both"/>
              <w:rPr>
                <w:sz w:val="24"/>
                <w:lang w:val="en-US"/>
              </w:rPr>
            </w:pPr>
            <w:r>
              <w:rPr>
                <w:sz w:val="24"/>
                <w:lang w:val="en-US"/>
              </w:rPr>
              <w:t>In accordance with the terms and conditions of the Agreement, the Vendor undertakes to transfer the property, and the Consumer undertakes to accept and pay the price of immovable and movable property to the Vendor.</w:t>
            </w:r>
          </w:p>
          <w:p w:rsidR="00D70670" w:rsidRPr="006B7350" w:rsidRDefault="006B7350" w:rsidP="008E0C05">
            <w:pPr>
              <w:pStyle w:val="TableParagraph"/>
              <w:tabs>
                <w:tab w:val="left" w:pos="595"/>
              </w:tabs>
              <w:ind w:left="0" w:firstLine="312"/>
              <w:jc w:val="both"/>
              <w:rPr>
                <w:sz w:val="24"/>
                <w:lang w:val="en-US"/>
              </w:rPr>
            </w:pPr>
            <w:r>
              <w:rPr>
                <w:sz w:val="24"/>
                <w:lang w:val="en-US"/>
              </w:rPr>
              <w:t>Composition of disposed property: power grid facilities included in the register of facilities of the Unified National (All-Russian) Electric Network:</w:t>
            </w:r>
          </w:p>
          <w:p w:rsidR="00D70670" w:rsidRPr="006B7350" w:rsidRDefault="006B7350" w:rsidP="008E0C05">
            <w:pPr>
              <w:pStyle w:val="TableParagraph"/>
              <w:numPr>
                <w:ilvl w:val="0"/>
                <w:numId w:val="4"/>
              </w:numPr>
              <w:tabs>
                <w:tab w:val="left" w:pos="595"/>
                <w:tab w:val="left" w:pos="831"/>
              </w:tabs>
              <w:ind w:left="0" w:firstLine="312"/>
              <w:jc w:val="both"/>
              <w:rPr>
                <w:sz w:val="24"/>
                <w:lang w:val="en-US"/>
              </w:rPr>
            </w:pPr>
            <w:r>
              <w:rPr>
                <w:sz w:val="24"/>
                <w:lang w:val="en-US"/>
              </w:rPr>
              <w:t>Air line (AL) 220 kV "Zimovniki-Elista-Severnaya" is located at the address: Rostov region, Zimovnikovsky, Dubovsky, Remontnensky districts, Republic of Kalmykia, Tselinny district, Elista;</w:t>
            </w:r>
          </w:p>
          <w:p w:rsidR="00D70670" w:rsidRPr="006B7350" w:rsidRDefault="006B7350" w:rsidP="008E0C05">
            <w:pPr>
              <w:pStyle w:val="TableParagraph"/>
              <w:numPr>
                <w:ilvl w:val="0"/>
                <w:numId w:val="4"/>
              </w:numPr>
              <w:tabs>
                <w:tab w:val="left" w:pos="595"/>
                <w:tab w:val="left" w:pos="785"/>
              </w:tabs>
              <w:ind w:left="0" w:firstLine="312"/>
              <w:jc w:val="both"/>
              <w:rPr>
                <w:sz w:val="24"/>
                <w:lang w:val="en-US"/>
              </w:rPr>
            </w:pPr>
            <w:r>
              <w:rPr>
                <w:sz w:val="24"/>
                <w:lang w:val="en-US"/>
              </w:rPr>
              <w:t>"Elista-Severnaya" 220/110/10 kV substation, incl. Closed switchgear (CSD) 10 kV, located at: Republic of Kalmykia, Elista, 10 microdistrict, No. 88;</w:t>
            </w:r>
          </w:p>
          <w:p w:rsidR="00D70670" w:rsidRPr="006B7350" w:rsidRDefault="006B7350" w:rsidP="008E0C05">
            <w:pPr>
              <w:pStyle w:val="TableParagraph"/>
              <w:numPr>
                <w:ilvl w:val="0"/>
                <w:numId w:val="4"/>
              </w:numPr>
              <w:tabs>
                <w:tab w:val="left" w:pos="595"/>
                <w:tab w:val="left" w:pos="795"/>
              </w:tabs>
              <w:ind w:left="0" w:firstLine="312"/>
              <w:jc w:val="both"/>
              <w:rPr>
                <w:sz w:val="24"/>
                <w:lang w:val="en-US"/>
              </w:rPr>
            </w:pPr>
            <w:r>
              <w:rPr>
                <w:sz w:val="24"/>
                <w:lang w:val="en-US"/>
              </w:rPr>
              <w:t>Air line (AL) 220 kV "Cherny Yar - Bolshoy Tsaryn" is located at the address: Republic of Kalmykia, Maloderbetovsky, Oktyabrsky districts, Astrakhan region, Chernoyarsky district;</w:t>
            </w:r>
          </w:p>
          <w:p w:rsidR="00D70670" w:rsidRPr="006B7350" w:rsidRDefault="006B7350" w:rsidP="008E0C05">
            <w:pPr>
              <w:pStyle w:val="TableParagraph"/>
              <w:numPr>
                <w:ilvl w:val="0"/>
                <w:numId w:val="4"/>
              </w:numPr>
              <w:tabs>
                <w:tab w:val="left" w:pos="595"/>
                <w:tab w:val="left" w:pos="780"/>
              </w:tabs>
              <w:ind w:left="0" w:firstLine="312"/>
              <w:jc w:val="both"/>
              <w:rPr>
                <w:sz w:val="24"/>
                <w:lang w:val="en-US"/>
              </w:rPr>
            </w:pPr>
            <w:r>
              <w:rPr>
                <w:sz w:val="24"/>
                <w:lang w:val="en-US"/>
              </w:rPr>
              <w:t>"Bolshoy Tsaryn" 220/110/10 kV substation is located at: Republic of Kalmykia, Oktyabrsky district, Bolshoy Tsaryn, North-West industrial area, 1.</w:t>
            </w:r>
          </w:p>
          <w:p w:rsidR="00D70670" w:rsidRPr="006B7350" w:rsidRDefault="006B7350" w:rsidP="008E0C05">
            <w:pPr>
              <w:pStyle w:val="TableParagraph"/>
              <w:tabs>
                <w:tab w:val="left" w:pos="595"/>
              </w:tabs>
              <w:ind w:left="0" w:firstLine="312"/>
              <w:jc w:val="both"/>
              <w:rPr>
                <w:sz w:val="24"/>
                <w:lang w:val="en-US"/>
              </w:rPr>
            </w:pPr>
            <w:r>
              <w:rPr>
                <w:sz w:val="24"/>
                <w:lang w:val="en-US"/>
              </w:rPr>
              <w:t>The complete list of power grid property with indication of the equipment included in these objects is presented in Annex 1 to this resolution.</w:t>
            </w:r>
          </w:p>
          <w:p w:rsidR="00D70670" w:rsidRPr="006B7350" w:rsidRDefault="006B7350" w:rsidP="008E0C05">
            <w:pPr>
              <w:pStyle w:val="TableParagraph"/>
              <w:tabs>
                <w:tab w:val="left" w:pos="595"/>
              </w:tabs>
              <w:ind w:left="0" w:firstLine="312"/>
              <w:rPr>
                <w:sz w:val="24"/>
                <w:lang w:val="en-US"/>
              </w:rPr>
            </w:pPr>
            <w:r>
              <w:rPr>
                <w:sz w:val="24"/>
                <w:lang w:val="en-US"/>
              </w:rPr>
              <w:t>Quantum of estate:</w:t>
            </w:r>
          </w:p>
          <w:p w:rsidR="00D70670" w:rsidRPr="006B7350" w:rsidRDefault="006B7350" w:rsidP="008E0C05">
            <w:pPr>
              <w:pStyle w:val="TableParagraph"/>
              <w:tabs>
                <w:tab w:val="left" w:pos="595"/>
              </w:tabs>
              <w:ind w:left="0" w:firstLine="312"/>
              <w:jc w:val="both"/>
              <w:rPr>
                <w:sz w:val="24"/>
                <w:lang w:val="en-US"/>
              </w:rPr>
            </w:pPr>
            <w:r>
              <w:rPr>
                <w:sz w:val="24"/>
                <w:lang w:val="en-US"/>
              </w:rPr>
              <w:t>The Quantum of the Estate under the Agreement is 285,981,234 (two hundred eighty-five million nine hundred eighty-one thousand two hundred and thirty-four) roubles and 65 kopecks, plus VAT in accordance with the Tax Code of the Russian Federation.</w:t>
            </w:r>
          </w:p>
          <w:p w:rsidR="00D70670" w:rsidRPr="006B7350" w:rsidRDefault="006B7350" w:rsidP="008E0C05">
            <w:pPr>
              <w:pStyle w:val="TableParagraph"/>
              <w:tabs>
                <w:tab w:val="left" w:pos="595"/>
              </w:tabs>
              <w:ind w:left="0" w:firstLine="312"/>
              <w:jc w:val="both"/>
              <w:rPr>
                <w:sz w:val="24"/>
                <w:lang w:val="en-US"/>
              </w:rPr>
            </w:pPr>
            <w:r>
              <w:rPr>
                <w:sz w:val="24"/>
                <w:lang w:val="en-US"/>
              </w:rPr>
              <w:t>Property transfer procedure: the property and all accessories necessary for its full operation, as well as all documentation related to the property, shall be transferred by the Vendor to the Consumer under the act of acceptance and transfer of property within 5 (five) working days from the date of conclusion of the contract of sale of a property.</w:t>
            </w:r>
          </w:p>
          <w:p w:rsidR="00D70670" w:rsidRPr="006B7350" w:rsidRDefault="006B7350" w:rsidP="008E0C05">
            <w:pPr>
              <w:pStyle w:val="TableParagraph"/>
              <w:tabs>
                <w:tab w:val="left" w:pos="595"/>
              </w:tabs>
              <w:ind w:left="0" w:firstLine="312"/>
              <w:jc w:val="both"/>
              <w:rPr>
                <w:sz w:val="24"/>
                <w:lang w:val="en-US"/>
              </w:rPr>
            </w:pPr>
            <w:r>
              <w:rPr>
                <w:sz w:val="24"/>
                <w:lang w:val="en-US"/>
              </w:rPr>
              <w:t>Procedure for payment for the property: The Consumer pays the price of the property by transferring money to the Vendor's current account within 30 (thirty) working days from the date of the Vendor's invoice.</w:t>
            </w:r>
          </w:p>
          <w:p w:rsidR="00D70670" w:rsidRPr="006B7350" w:rsidRDefault="006B7350" w:rsidP="008E0C05">
            <w:pPr>
              <w:pStyle w:val="TableParagraph"/>
              <w:tabs>
                <w:tab w:val="left" w:pos="595"/>
              </w:tabs>
              <w:ind w:left="0" w:firstLine="312"/>
              <w:jc w:val="both"/>
              <w:rPr>
                <w:sz w:val="24"/>
                <w:lang w:val="en-US"/>
              </w:rPr>
            </w:pPr>
            <w:r>
              <w:rPr>
                <w:sz w:val="24"/>
                <w:lang w:val="en-US"/>
              </w:rPr>
              <w:t>Person(s) interested in the transaction and grounds for interest:</w:t>
            </w:r>
          </w:p>
          <w:p w:rsidR="00D70670" w:rsidRPr="006B7350" w:rsidRDefault="006B7350" w:rsidP="008E0C05">
            <w:pPr>
              <w:pStyle w:val="TableParagraph"/>
              <w:tabs>
                <w:tab w:val="left" w:pos="595"/>
              </w:tabs>
              <w:ind w:left="0" w:firstLine="312"/>
              <w:jc w:val="both"/>
              <w:rPr>
                <w:sz w:val="24"/>
                <w:lang w:val="en-US"/>
              </w:rPr>
            </w:pPr>
            <w:r>
              <w:rPr>
                <w:sz w:val="24"/>
                <w:lang w:val="en-US"/>
              </w:rPr>
              <w:t>Rosseti, PJSC is a controller of IDGC of the South, PJSC and at the same time a controller of FGC UES, PJSC, being a party to the transaction.</w:t>
            </w:r>
          </w:p>
          <w:p w:rsidR="00D70670" w:rsidRPr="006B7350" w:rsidRDefault="006B7350" w:rsidP="008E0C05">
            <w:pPr>
              <w:pStyle w:val="TableParagraph"/>
              <w:tabs>
                <w:tab w:val="left" w:pos="595"/>
              </w:tabs>
              <w:ind w:left="0" w:firstLine="312"/>
              <w:jc w:val="both"/>
              <w:rPr>
                <w:sz w:val="24"/>
                <w:lang w:val="en-US"/>
              </w:rPr>
            </w:pPr>
            <w:r>
              <w:rPr>
                <w:sz w:val="24"/>
                <w:lang w:val="en-US"/>
              </w:rPr>
              <w:t>Pavel Vladimirovich Grebtsov is a member of the Board of Directors of IDGC of the South, PJSC, and at the same time is a member of the Board of Directors of FGC UES, PJSC, a party to the transaction.</w:t>
            </w:r>
          </w:p>
          <w:p w:rsidR="00D70670" w:rsidRPr="006B7350" w:rsidRDefault="006B7350" w:rsidP="008E0C05">
            <w:pPr>
              <w:pStyle w:val="TableParagraph"/>
              <w:tabs>
                <w:tab w:val="left" w:pos="595"/>
              </w:tabs>
              <w:ind w:left="0" w:firstLine="312"/>
              <w:jc w:val="both"/>
              <w:rPr>
                <w:sz w:val="24"/>
                <w:lang w:val="en-US"/>
              </w:rPr>
            </w:pPr>
            <w:r>
              <w:rPr>
                <w:sz w:val="24"/>
                <w:lang w:val="en-US"/>
              </w:rPr>
              <w:t>Olga Andreyevna Sergeeva is a member of the Board of Directors of IDGC of the South, PJSC and at the same time is a member of the Board of Directors of FGC UES, PJSC, which is a party to the transaction.</w:t>
            </w:r>
          </w:p>
        </w:tc>
      </w:tr>
      <w:tr w:rsidR="008916D6" w:rsidRPr="006B7350" w:rsidTr="008E0C05">
        <w:trPr>
          <w:trHeight w:val="20"/>
        </w:trPr>
        <w:tc>
          <w:tcPr>
            <w:tcW w:w="9641" w:type="dxa"/>
            <w:gridSpan w:val="7"/>
          </w:tcPr>
          <w:p w:rsidR="00D70670" w:rsidRPr="006B7350" w:rsidRDefault="006B7350" w:rsidP="000E220F">
            <w:pPr>
              <w:pStyle w:val="TableParagraph"/>
              <w:tabs>
                <w:tab w:val="left" w:pos="595"/>
              </w:tabs>
              <w:ind w:left="0" w:firstLine="312"/>
              <w:jc w:val="both"/>
              <w:rPr>
                <w:b/>
                <w:sz w:val="24"/>
                <w:lang w:val="en-US"/>
              </w:rPr>
            </w:pPr>
            <w:r>
              <w:rPr>
                <w:b/>
                <w:sz w:val="24"/>
                <w:lang w:val="en-US"/>
              </w:rPr>
              <w:t>Insider information disclosure on issue No. 2: On recommendations to the executive bodies of the Company on conclusion of Compensation Agreements.</w:t>
            </w:r>
          </w:p>
        </w:tc>
      </w:tr>
      <w:tr w:rsidR="008916D6" w:rsidRPr="006B7350" w:rsidTr="008E0C05">
        <w:trPr>
          <w:trHeight w:val="20"/>
        </w:trPr>
        <w:tc>
          <w:tcPr>
            <w:tcW w:w="9641" w:type="dxa"/>
            <w:gridSpan w:val="7"/>
          </w:tcPr>
          <w:p w:rsidR="00D70670" w:rsidRPr="006B7350" w:rsidRDefault="006B7350" w:rsidP="000E220F">
            <w:pPr>
              <w:pStyle w:val="TableParagraph"/>
              <w:tabs>
                <w:tab w:val="left" w:pos="595"/>
              </w:tabs>
              <w:ind w:left="0" w:firstLine="312"/>
              <w:jc w:val="both"/>
              <w:rPr>
                <w:sz w:val="24"/>
                <w:lang w:val="en-US"/>
              </w:rPr>
            </w:pPr>
            <w:r>
              <w:rPr>
                <w:sz w:val="24"/>
                <w:lang w:val="en-US"/>
              </w:rPr>
              <w:t>2.2.2. Resolution content adopted by the Issuer's Board of Directors:</w:t>
            </w:r>
          </w:p>
        </w:tc>
      </w:tr>
      <w:tr w:rsidR="008916D6" w:rsidRPr="006B7350" w:rsidTr="008E0C05">
        <w:trPr>
          <w:trHeight w:val="20"/>
        </w:trPr>
        <w:tc>
          <w:tcPr>
            <w:tcW w:w="9641" w:type="dxa"/>
            <w:gridSpan w:val="7"/>
          </w:tcPr>
          <w:p w:rsidR="00D70670" w:rsidRPr="006B7350" w:rsidRDefault="006B7350" w:rsidP="000E220F">
            <w:pPr>
              <w:pStyle w:val="TableParagraph"/>
              <w:tabs>
                <w:tab w:val="left" w:pos="595"/>
              </w:tabs>
              <w:ind w:left="0" w:firstLine="312"/>
              <w:jc w:val="both"/>
              <w:rPr>
                <w:sz w:val="24"/>
                <w:lang w:val="en-US"/>
              </w:rPr>
            </w:pPr>
            <w:r>
              <w:rPr>
                <w:sz w:val="24"/>
                <w:lang w:val="en-US"/>
              </w:rPr>
              <w:t>Recommend to the General Director of the Company to conclude:</w:t>
            </w:r>
          </w:p>
          <w:p w:rsidR="00D70670" w:rsidRPr="006B7350" w:rsidRDefault="006B7350" w:rsidP="000E220F">
            <w:pPr>
              <w:pStyle w:val="TableParagraph"/>
              <w:numPr>
                <w:ilvl w:val="0"/>
                <w:numId w:val="3"/>
              </w:numPr>
              <w:tabs>
                <w:tab w:val="left" w:pos="595"/>
                <w:tab w:val="left" w:pos="874"/>
              </w:tabs>
              <w:ind w:left="0" w:firstLine="312"/>
              <w:jc w:val="both"/>
              <w:rPr>
                <w:sz w:val="24"/>
                <w:lang w:val="en-US"/>
              </w:rPr>
            </w:pPr>
            <w:r w:rsidRPr="008E0C05">
              <w:rPr>
                <w:sz w:val="24"/>
                <w:lang w:val="en-US"/>
              </w:rPr>
              <w:t xml:space="preserve">Agreements on compensation (monetary form) between IDGC of the South, PJSC and SEZ </w:t>
            </w:r>
            <w:r w:rsidRPr="008E0C05">
              <w:rPr>
                <w:sz w:val="24"/>
                <w:lang w:val="en-US"/>
              </w:rPr>
              <w:lastRenderedPageBreak/>
              <w:t>Lotus, PJSC in accordance with Annexes 2, 3, 4 to this resolution of the Company's Board of Directors.</w:t>
            </w:r>
          </w:p>
          <w:p w:rsidR="00D70670" w:rsidRPr="006B7350" w:rsidRDefault="006B7350" w:rsidP="000E220F">
            <w:pPr>
              <w:pStyle w:val="TableParagraph"/>
              <w:numPr>
                <w:ilvl w:val="0"/>
                <w:numId w:val="3"/>
              </w:numPr>
              <w:tabs>
                <w:tab w:val="left" w:pos="595"/>
                <w:tab w:val="left" w:pos="938"/>
              </w:tabs>
              <w:ind w:left="0" w:firstLine="312"/>
              <w:jc w:val="both"/>
              <w:rPr>
                <w:sz w:val="24"/>
                <w:lang w:val="en-US"/>
              </w:rPr>
            </w:pPr>
            <w:r>
              <w:rPr>
                <w:sz w:val="24"/>
                <w:lang w:val="en-US"/>
              </w:rPr>
              <w:t>Agreement on compensation (monetary form) between IDGC of the South, PJSC and the Federal Budget Institution "Administration of the Volga-Don Basin of Inland Waterways" according to Annex No. 5 to this resolution of the Company's Board of Directors.</w:t>
            </w:r>
          </w:p>
          <w:p w:rsidR="00D70670" w:rsidRPr="006B7350" w:rsidRDefault="006B7350" w:rsidP="000E220F">
            <w:pPr>
              <w:pStyle w:val="TableParagraph"/>
              <w:numPr>
                <w:ilvl w:val="0"/>
                <w:numId w:val="3"/>
              </w:numPr>
              <w:tabs>
                <w:tab w:val="left" w:pos="595"/>
                <w:tab w:val="left" w:pos="869"/>
              </w:tabs>
              <w:ind w:left="0" w:firstLine="312"/>
              <w:jc w:val="both"/>
              <w:rPr>
                <w:sz w:val="24"/>
                <w:lang w:val="en-US"/>
              </w:rPr>
            </w:pPr>
            <w:r>
              <w:rPr>
                <w:sz w:val="24"/>
                <w:lang w:val="en-US"/>
              </w:rPr>
              <w:t>Agreements on compensation (monetary form) between IDGC of the South, PJSC and Stroytransgaz, JSC in accordance with Annexes 6, 6,7 to this resolution of the Company's Board of Directors.</w:t>
            </w:r>
          </w:p>
          <w:p w:rsidR="00D70670" w:rsidRPr="006B7350" w:rsidRDefault="006B7350" w:rsidP="000E220F">
            <w:pPr>
              <w:pStyle w:val="TableParagraph"/>
              <w:numPr>
                <w:ilvl w:val="0"/>
                <w:numId w:val="3"/>
              </w:numPr>
              <w:tabs>
                <w:tab w:val="left" w:pos="595"/>
                <w:tab w:val="left" w:pos="876"/>
              </w:tabs>
              <w:ind w:left="0" w:firstLine="312"/>
              <w:jc w:val="both"/>
              <w:rPr>
                <w:sz w:val="24"/>
                <w:lang w:val="en-US"/>
              </w:rPr>
            </w:pPr>
            <w:r>
              <w:rPr>
                <w:sz w:val="24"/>
                <w:lang w:val="en-US"/>
              </w:rPr>
              <w:t>Agreement on compensation (monetary form) between IDGC of the South, PJSC and Diapazon, LLC in accordance with Annex No. 8 to this resolution of the Company's Board of Directors.</w:t>
            </w:r>
          </w:p>
        </w:tc>
      </w:tr>
      <w:tr w:rsidR="008916D6" w:rsidRPr="006B7350" w:rsidTr="008E0C05">
        <w:trPr>
          <w:trHeight w:val="20"/>
        </w:trPr>
        <w:tc>
          <w:tcPr>
            <w:tcW w:w="9641" w:type="dxa"/>
            <w:gridSpan w:val="7"/>
          </w:tcPr>
          <w:p w:rsidR="00D70670" w:rsidRPr="006B7350" w:rsidRDefault="006B7350" w:rsidP="000E220F">
            <w:pPr>
              <w:pStyle w:val="TableParagraph"/>
              <w:tabs>
                <w:tab w:val="left" w:pos="595"/>
              </w:tabs>
              <w:ind w:left="0" w:firstLine="312"/>
              <w:jc w:val="both"/>
              <w:rPr>
                <w:b/>
                <w:sz w:val="24"/>
                <w:lang w:val="en-US"/>
              </w:rPr>
            </w:pPr>
            <w:r>
              <w:rPr>
                <w:b/>
                <w:sz w:val="24"/>
                <w:lang w:val="en-US"/>
              </w:rPr>
              <w:lastRenderedPageBreak/>
              <w:t>Insider information disclosure on issue No. 3: On consideration of the format of external independent evaluation of internal audit activities.</w:t>
            </w:r>
          </w:p>
        </w:tc>
      </w:tr>
      <w:tr w:rsidR="008916D6" w:rsidTr="008E0C05">
        <w:trPr>
          <w:trHeight w:val="20"/>
        </w:trPr>
        <w:tc>
          <w:tcPr>
            <w:tcW w:w="9641" w:type="dxa"/>
            <w:gridSpan w:val="7"/>
          </w:tcPr>
          <w:p w:rsidR="00D70670" w:rsidRPr="006B7350" w:rsidRDefault="006B7350" w:rsidP="008E0C05">
            <w:pPr>
              <w:pStyle w:val="TableParagraph"/>
              <w:tabs>
                <w:tab w:val="left" w:pos="595"/>
              </w:tabs>
              <w:ind w:left="0" w:firstLine="312"/>
              <w:jc w:val="both"/>
              <w:rPr>
                <w:sz w:val="24"/>
                <w:lang w:val="en-US"/>
              </w:rPr>
            </w:pPr>
            <w:r>
              <w:rPr>
                <w:sz w:val="24"/>
                <w:lang w:val="en-US"/>
              </w:rPr>
              <w:t>2.2.3. Resolution content adopted by the Issuer's Board of Directors:</w:t>
            </w:r>
          </w:p>
          <w:p w:rsidR="00D70670" w:rsidRPr="006B7350" w:rsidRDefault="006B7350" w:rsidP="008E0C05">
            <w:pPr>
              <w:pStyle w:val="TableParagraph"/>
              <w:numPr>
                <w:ilvl w:val="0"/>
                <w:numId w:val="2"/>
              </w:numPr>
              <w:tabs>
                <w:tab w:val="left" w:pos="595"/>
                <w:tab w:val="left" w:pos="922"/>
              </w:tabs>
              <w:ind w:left="0" w:firstLine="312"/>
              <w:jc w:val="both"/>
              <w:rPr>
                <w:sz w:val="24"/>
                <w:lang w:val="en-US"/>
              </w:rPr>
            </w:pPr>
            <w:r>
              <w:rPr>
                <w:sz w:val="24"/>
                <w:lang w:val="en-US"/>
              </w:rPr>
              <w:t>Take into consideration the format of the external assessment (terms of reference) as per Annex 9 to this resolution of the Company's Board of Directors.</w:t>
            </w:r>
          </w:p>
          <w:p w:rsidR="00D70670" w:rsidRPr="006B7350" w:rsidRDefault="006B7350" w:rsidP="008E0C05">
            <w:pPr>
              <w:pStyle w:val="TableParagraph"/>
              <w:numPr>
                <w:ilvl w:val="0"/>
                <w:numId w:val="2"/>
              </w:numPr>
              <w:tabs>
                <w:tab w:val="left" w:pos="595"/>
                <w:tab w:val="left" w:pos="996"/>
              </w:tabs>
              <w:ind w:left="0" w:firstLine="312"/>
              <w:jc w:val="both"/>
              <w:rPr>
                <w:sz w:val="24"/>
                <w:lang w:val="en-US"/>
              </w:rPr>
            </w:pPr>
            <w:r>
              <w:rPr>
                <w:sz w:val="24"/>
                <w:lang w:val="en-US"/>
              </w:rPr>
              <w:t>Entrust the Audit Committee of the Board of Directors of IDGC of the South, PJSC with the approval of the candidate of the organization for external evaluation of the internal audit activity selected by the winner based on the results of the centralized procurement procedure.</w:t>
            </w:r>
          </w:p>
          <w:p w:rsidR="00D70670" w:rsidRPr="006B7350" w:rsidRDefault="006B7350" w:rsidP="008E0C05">
            <w:pPr>
              <w:pStyle w:val="TableParagraph"/>
              <w:numPr>
                <w:ilvl w:val="0"/>
                <w:numId w:val="2"/>
              </w:numPr>
              <w:tabs>
                <w:tab w:val="left" w:pos="595"/>
                <w:tab w:val="left" w:pos="1019"/>
                <w:tab w:val="left" w:pos="1020"/>
                <w:tab w:val="left" w:pos="2292"/>
                <w:tab w:val="left" w:pos="4101"/>
                <w:tab w:val="left" w:pos="6199"/>
                <w:tab w:val="left" w:pos="7169"/>
                <w:tab w:val="left" w:pos="7972"/>
                <w:tab w:val="left" w:pos="9034"/>
              </w:tabs>
              <w:ind w:left="0" w:firstLine="312"/>
              <w:jc w:val="both"/>
              <w:rPr>
                <w:sz w:val="24"/>
                <w:lang w:val="en-US"/>
              </w:rPr>
            </w:pPr>
            <w:r>
              <w:rPr>
                <w:sz w:val="24"/>
                <w:lang w:val="en-US"/>
              </w:rPr>
              <w:t>Instruct the Single Executive Body of IDGC of the South, PJSC to submit to the Board of Directors for consideration a report on the results of an external independent assessment of the internal audit activity with preliminary consideration by the Audit Committee of the Board of Directors.</w:t>
            </w:r>
          </w:p>
          <w:p w:rsidR="00D70670" w:rsidRDefault="006B7350" w:rsidP="008E0C05">
            <w:pPr>
              <w:pStyle w:val="TableParagraph"/>
              <w:tabs>
                <w:tab w:val="left" w:pos="595"/>
              </w:tabs>
              <w:ind w:left="0" w:firstLine="312"/>
              <w:jc w:val="both"/>
              <w:rPr>
                <w:sz w:val="24"/>
              </w:rPr>
            </w:pPr>
            <w:r>
              <w:rPr>
                <w:sz w:val="24"/>
                <w:lang w:val="en-US"/>
              </w:rPr>
              <w:t>Deadline: December 31, 2019.</w:t>
            </w:r>
          </w:p>
        </w:tc>
      </w:tr>
      <w:tr w:rsidR="008916D6" w:rsidRPr="00A141C9" w:rsidTr="0045316F">
        <w:trPr>
          <w:trHeight w:val="20"/>
        </w:trPr>
        <w:tc>
          <w:tcPr>
            <w:tcW w:w="9641" w:type="dxa"/>
            <w:gridSpan w:val="7"/>
            <w:tcBorders>
              <w:bottom w:val="single" w:sz="4" w:space="0" w:color="000000"/>
            </w:tcBorders>
          </w:tcPr>
          <w:p w:rsidR="00D70670" w:rsidRPr="006B7350" w:rsidRDefault="006B7350" w:rsidP="008E0C05">
            <w:pPr>
              <w:pStyle w:val="TableParagraph"/>
              <w:numPr>
                <w:ilvl w:val="1"/>
                <w:numId w:val="1"/>
              </w:numPr>
              <w:tabs>
                <w:tab w:val="left" w:pos="559"/>
              </w:tabs>
              <w:ind w:left="0" w:firstLine="0"/>
              <w:jc w:val="both"/>
              <w:rPr>
                <w:b/>
                <w:i/>
                <w:sz w:val="24"/>
                <w:lang w:val="en-US"/>
              </w:rPr>
            </w:pPr>
            <w:r>
              <w:rPr>
                <w:sz w:val="24"/>
                <w:lang w:val="en-US"/>
              </w:rPr>
              <w:t xml:space="preserve">Date of the meeting of the Issuer's Board of Directors at which the relevant resolutions were adopted: </w:t>
            </w:r>
            <w:r>
              <w:rPr>
                <w:b/>
                <w:i/>
                <w:sz w:val="24"/>
                <w:lang w:val="en-US"/>
              </w:rPr>
              <w:t>July 31, 2019.</w:t>
            </w:r>
          </w:p>
          <w:p w:rsidR="00D70670" w:rsidRPr="006B7350" w:rsidRDefault="006B7350" w:rsidP="008E0C05">
            <w:pPr>
              <w:pStyle w:val="TableParagraph"/>
              <w:numPr>
                <w:ilvl w:val="1"/>
                <w:numId w:val="1"/>
              </w:numPr>
              <w:tabs>
                <w:tab w:val="left" w:pos="648"/>
              </w:tabs>
              <w:ind w:left="0" w:firstLine="0"/>
              <w:jc w:val="both"/>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August 2, 2019, Minutes No. 328/2019.</w:t>
            </w:r>
          </w:p>
        </w:tc>
      </w:tr>
      <w:tr w:rsidR="008916D6" w:rsidTr="0045316F">
        <w:trPr>
          <w:trHeight w:val="20"/>
        </w:trPr>
        <w:tc>
          <w:tcPr>
            <w:tcW w:w="9641" w:type="dxa"/>
            <w:gridSpan w:val="7"/>
            <w:tcBorders>
              <w:bottom w:val="single" w:sz="4" w:space="0" w:color="auto"/>
            </w:tcBorders>
          </w:tcPr>
          <w:p w:rsidR="008E0C05" w:rsidRDefault="006B7350" w:rsidP="008E0C05">
            <w:pPr>
              <w:pStyle w:val="TableParagraph"/>
              <w:ind w:left="0"/>
              <w:jc w:val="center"/>
              <w:rPr>
                <w:sz w:val="24"/>
              </w:rPr>
            </w:pPr>
            <w:r>
              <w:rPr>
                <w:sz w:val="24"/>
                <w:lang w:val="en-US"/>
              </w:rPr>
              <w:t>3. Signature</w:t>
            </w:r>
          </w:p>
        </w:tc>
      </w:tr>
      <w:tr w:rsidR="008916D6" w:rsidTr="0045316F">
        <w:trPr>
          <w:trHeight w:val="210"/>
        </w:trPr>
        <w:tc>
          <w:tcPr>
            <w:tcW w:w="5391" w:type="dxa"/>
            <w:gridSpan w:val="5"/>
            <w:vMerge w:val="restart"/>
            <w:tcBorders>
              <w:top w:val="single" w:sz="4" w:space="0" w:color="auto"/>
              <w:bottom w:val="nil"/>
              <w:right w:val="nil"/>
            </w:tcBorders>
          </w:tcPr>
          <w:p w:rsidR="008E0C05" w:rsidRPr="006B7350" w:rsidRDefault="006B7350" w:rsidP="008E0C05">
            <w:pPr>
              <w:pStyle w:val="TableParagraph"/>
              <w:ind w:left="0"/>
              <w:rPr>
                <w:lang w:val="en-US"/>
              </w:rPr>
            </w:pPr>
            <w:r>
              <w:rPr>
                <w:sz w:val="24"/>
                <w:lang w:val="en-US"/>
              </w:rPr>
              <w:t>3.1. Head of Corporate Governance and Shareholder Relations Department (by proxy No. 86-19 dated January 1, 2019)</w:t>
            </w:r>
          </w:p>
        </w:tc>
        <w:tc>
          <w:tcPr>
            <w:tcW w:w="1152" w:type="dxa"/>
            <w:tcBorders>
              <w:top w:val="single" w:sz="4" w:space="0" w:color="auto"/>
              <w:left w:val="nil"/>
              <w:bottom w:val="single" w:sz="4" w:space="0" w:color="auto"/>
              <w:right w:val="nil"/>
            </w:tcBorders>
          </w:tcPr>
          <w:p w:rsidR="008E0C05" w:rsidRPr="006B7350" w:rsidRDefault="00A141C9" w:rsidP="008E0C05">
            <w:pPr>
              <w:pStyle w:val="TableParagraph"/>
              <w:tabs>
                <w:tab w:val="left" w:pos="5729"/>
                <w:tab w:val="left" w:pos="5854"/>
                <w:tab w:val="left" w:pos="7224"/>
                <w:tab w:val="left" w:pos="7774"/>
              </w:tabs>
              <w:ind w:left="0"/>
              <w:rPr>
                <w:lang w:val="en-US"/>
              </w:rPr>
            </w:pPr>
          </w:p>
        </w:tc>
        <w:tc>
          <w:tcPr>
            <w:tcW w:w="3098" w:type="dxa"/>
            <w:tcBorders>
              <w:top w:val="single" w:sz="4" w:space="0" w:color="auto"/>
              <w:left w:val="nil"/>
              <w:bottom w:val="nil"/>
            </w:tcBorders>
            <w:vAlign w:val="bottom"/>
          </w:tcPr>
          <w:p w:rsidR="008E0C05" w:rsidRDefault="006B7350" w:rsidP="008E0C05">
            <w:pPr>
              <w:pStyle w:val="TableParagraph"/>
              <w:tabs>
                <w:tab w:val="left" w:pos="5729"/>
                <w:tab w:val="left" w:pos="5854"/>
                <w:tab w:val="left" w:pos="7224"/>
                <w:tab w:val="left" w:pos="7774"/>
              </w:tabs>
              <w:ind w:left="0"/>
            </w:pPr>
            <w:r>
              <w:rPr>
                <w:sz w:val="24"/>
                <w:lang w:val="en-US"/>
              </w:rPr>
              <w:t>Pavlova E.N.</w:t>
            </w:r>
          </w:p>
        </w:tc>
      </w:tr>
      <w:tr w:rsidR="008916D6" w:rsidTr="008E0C05">
        <w:trPr>
          <w:trHeight w:val="564"/>
        </w:trPr>
        <w:tc>
          <w:tcPr>
            <w:tcW w:w="5391" w:type="dxa"/>
            <w:gridSpan w:val="5"/>
            <w:vMerge/>
            <w:tcBorders>
              <w:top w:val="nil"/>
              <w:bottom w:val="nil"/>
              <w:right w:val="nil"/>
            </w:tcBorders>
          </w:tcPr>
          <w:p w:rsidR="008E0C05" w:rsidRDefault="00A141C9" w:rsidP="008E0C05">
            <w:pPr>
              <w:pStyle w:val="TableParagraph"/>
              <w:ind w:left="0"/>
              <w:rPr>
                <w:sz w:val="24"/>
              </w:rPr>
            </w:pPr>
          </w:p>
        </w:tc>
        <w:tc>
          <w:tcPr>
            <w:tcW w:w="1152" w:type="dxa"/>
            <w:tcBorders>
              <w:top w:val="nil"/>
              <w:left w:val="nil"/>
              <w:bottom w:val="nil"/>
              <w:right w:val="nil"/>
            </w:tcBorders>
          </w:tcPr>
          <w:p w:rsidR="008E0C05" w:rsidRDefault="006B7350" w:rsidP="008E0C05">
            <w:pPr>
              <w:pStyle w:val="TableParagraph"/>
              <w:tabs>
                <w:tab w:val="left" w:pos="5729"/>
                <w:tab w:val="left" w:pos="5854"/>
                <w:tab w:val="left" w:pos="7224"/>
                <w:tab w:val="left" w:pos="7774"/>
              </w:tabs>
              <w:ind w:left="0"/>
            </w:pPr>
            <w:r>
              <w:rPr>
                <w:sz w:val="24"/>
                <w:lang w:val="en-US"/>
              </w:rPr>
              <w:t xml:space="preserve">(signature) </w:t>
            </w:r>
            <w:r w:rsidR="00A141C9" w:rsidRPr="00A141C9">
              <w:rPr>
                <w:sz w:val="24"/>
                <w:lang w:val="en-US"/>
              </w:rPr>
              <w:t>L.S.</w:t>
            </w:r>
            <w:bookmarkStart w:id="0" w:name="_GoBack"/>
            <w:bookmarkEnd w:id="0"/>
          </w:p>
        </w:tc>
        <w:tc>
          <w:tcPr>
            <w:tcW w:w="3098" w:type="dxa"/>
            <w:tcBorders>
              <w:top w:val="nil"/>
              <w:left w:val="nil"/>
              <w:bottom w:val="nil"/>
            </w:tcBorders>
          </w:tcPr>
          <w:p w:rsidR="008E0C05" w:rsidRDefault="00A141C9" w:rsidP="008E0C05">
            <w:pPr>
              <w:pStyle w:val="TableParagraph"/>
              <w:tabs>
                <w:tab w:val="left" w:pos="5729"/>
                <w:tab w:val="left" w:pos="5854"/>
                <w:tab w:val="left" w:pos="7224"/>
                <w:tab w:val="left" w:pos="7774"/>
              </w:tabs>
              <w:ind w:left="0"/>
            </w:pPr>
          </w:p>
        </w:tc>
      </w:tr>
      <w:tr w:rsidR="008916D6" w:rsidTr="008E0C05">
        <w:trPr>
          <w:trHeight w:val="20"/>
        </w:trPr>
        <w:tc>
          <w:tcPr>
            <w:tcW w:w="1224" w:type="dxa"/>
            <w:tcBorders>
              <w:top w:val="nil"/>
              <w:right w:val="nil"/>
            </w:tcBorders>
          </w:tcPr>
          <w:p w:rsidR="00D70670" w:rsidRDefault="006B7350" w:rsidP="008E0C05">
            <w:pPr>
              <w:pStyle w:val="TableParagraph"/>
              <w:ind w:left="0"/>
              <w:rPr>
                <w:sz w:val="24"/>
              </w:rPr>
            </w:pPr>
            <w:r>
              <w:rPr>
                <w:sz w:val="24"/>
                <w:lang w:val="en-US"/>
              </w:rPr>
              <w:t>3.2. Date</w:t>
            </w:r>
          </w:p>
        </w:tc>
        <w:tc>
          <w:tcPr>
            <w:tcW w:w="901" w:type="dxa"/>
            <w:tcBorders>
              <w:top w:val="nil"/>
              <w:left w:val="nil"/>
              <w:right w:val="nil"/>
            </w:tcBorders>
          </w:tcPr>
          <w:p w:rsidR="00D70670" w:rsidRDefault="006B7350" w:rsidP="00912F49">
            <w:pPr>
              <w:pStyle w:val="TableParagraph"/>
              <w:spacing w:after="120"/>
              <w:ind w:left="0"/>
              <w:rPr>
                <w:sz w:val="24"/>
              </w:rPr>
            </w:pPr>
            <w:r w:rsidRPr="00912F49">
              <w:rPr>
                <w:sz w:val="24"/>
                <w:u w:val="single"/>
                <w:lang w:val="en-US"/>
              </w:rPr>
              <w:t>August</w:t>
            </w:r>
          </w:p>
        </w:tc>
        <w:tc>
          <w:tcPr>
            <w:tcW w:w="1261" w:type="dxa"/>
            <w:tcBorders>
              <w:top w:val="nil"/>
              <w:left w:val="nil"/>
              <w:right w:val="nil"/>
            </w:tcBorders>
          </w:tcPr>
          <w:p w:rsidR="00D70670" w:rsidRPr="00912F49" w:rsidRDefault="006B7350" w:rsidP="008E0C05">
            <w:pPr>
              <w:pStyle w:val="TableParagraph"/>
              <w:ind w:left="0"/>
              <w:rPr>
                <w:sz w:val="24"/>
                <w:u w:val="single"/>
              </w:rPr>
            </w:pPr>
            <w:r w:rsidRPr="00912F49">
              <w:rPr>
                <w:sz w:val="24"/>
                <w:u w:val="single"/>
                <w:lang w:val="en-US"/>
              </w:rPr>
              <w:t>"02",</w:t>
            </w:r>
          </w:p>
        </w:tc>
        <w:tc>
          <w:tcPr>
            <w:tcW w:w="6255" w:type="dxa"/>
            <w:gridSpan w:val="4"/>
            <w:tcBorders>
              <w:top w:val="nil"/>
              <w:left w:val="nil"/>
            </w:tcBorders>
          </w:tcPr>
          <w:p w:rsidR="00D70670" w:rsidRDefault="006B7350" w:rsidP="008E0C05">
            <w:pPr>
              <w:pStyle w:val="TableParagraph"/>
              <w:ind w:left="0"/>
              <w:rPr>
                <w:sz w:val="24"/>
              </w:rPr>
            </w:pPr>
            <w:r>
              <w:rPr>
                <w:sz w:val="24"/>
                <w:lang w:val="en-US"/>
              </w:rPr>
              <w:t>20</w:t>
            </w:r>
            <w:r w:rsidRPr="00912F49">
              <w:rPr>
                <w:sz w:val="24"/>
                <w:u w:val="single"/>
                <w:lang w:val="en-US"/>
              </w:rPr>
              <w:t>19</w:t>
            </w:r>
            <w:r>
              <w:rPr>
                <w:sz w:val="24"/>
                <w:lang w:val="en-US"/>
              </w:rPr>
              <w:t xml:space="preserve"> </w:t>
            </w:r>
          </w:p>
        </w:tc>
      </w:tr>
    </w:tbl>
    <w:p w:rsidR="00586DC5" w:rsidRDefault="00A141C9" w:rsidP="008E0C05"/>
    <w:sectPr w:rsidR="00586DC5" w:rsidSect="008E0C05">
      <w:headerReference w:type="default" r:id="rId10"/>
      <w:pgSz w:w="11910" w:h="16850"/>
      <w:pgMar w:top="1276"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AF" w:rsidRDefault="006B7350">
      <w:r>
        <w:separator/>
      </w:r>
    </w:p>
  </w:endnote>
  <w:endnote w:type="continuationSeparator" w:id="0">
    <w:p w:rsidR="001B0AAF" w:rsidRDefault="006B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AF" w:rsidRDefault="006B7350">
      <w:r>
        <w:separator/>
      </w:r>
    </w:p>
  </w:footnote>
  <w:footnote w:type="continuationSeparator" w:id="0">
    <w:p w:rsidR="001B0AAF" w:rsidRDefault="006B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05" w:rsidRPr="008E0C05" w:rsidRDefault="006B7350" w:rsidP="008E0C05">
    <w:pPr>
      <w:spacing w:before="10"/>
      <w:ind w:left="40"/>
      <w:jc w:val="right"/>
      <w:rPr>
        <w:szCs w:val="20"/>
      </w:rPr>
    </w:pPr>
    <w:r w:rsidRPr="008E0C05">
      <w:rPr>
        <w:szCs w:val="20"/>
      </w:rPr>
      <w:fldChar w:fldCharType="begin"/>
    </w:r>
    <w:r w:rsidRPr="008E0C05">
      <w:rPr>
        <w:szCs w:val="20"/>
      </w:rPr>
      <w:instrText xml:space="preserve"> PAGE </w:instrText>
    </w:r>
    <w:r w:rsidRPr="008E0C05">
      <w:rPr>
        <w:szCs w:val="20"/>
      </w:rPr>
      <w:fldChar w:fldCharType="separate"/>
    </w:r>
    <w:r w:rsidR="00A141C9">
      <w:rPr>
        <w:noProof/>
        <w:szCs w:val="20"/>
      </w:rPr>
      <w:t>3</w:t>
    </w:r>
    <w:r w:rsidRPr="008E0C05">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FA5"/>
    <w:multiLevelType w:val="hybridMultilevel"/>
    <w:tmpl w:val="7786D034"/>
    <w:lvl w:ilvl="0" w:tplc="00C29030">
      <w:start w:val="1"/>
      <w:numFmt w:val="decimal"/>
      <w:lvlText w:val="%1."/>
      <w:lvlJc w:val="left"/>
      <w:pPr>
        <w:ind w:left="26" w:hanging="281"/>
        <w:jc w:val="left"/>
      </w:pPr>
      <w:rPr>
        <w:rFonts w:ascii="Times New Roman" w:eastAsia="Times New Roman" w:hAnsi="Times New Roman" w:cs="Times New Roman" w:hint="default"/>
        <w:spacing w:val="-27"/>
        <w:w w:val="100"/>
        <w:sz w:val="24"/>
        <w:szCs w:val="24"/>
        <w:lang w:val="ru-RU" w:eastAsia="ru-RU" w:bidi="ru-RU"/>
      </w:rPr>
    </w:lvl>
    <w:lvl w:ilvl="1" w:tplc="F86C1168">
      <w:numFmt w:val="bullet"/>
      <w:lvlText w:val="•"/>
      <w:lvlJc w:val="left"/>
      <w:pPr>
        <w:ind w:left="980" w:hanging="281"/>
      </w:pPr>
      <w:rPr>
        <w:rFonts w:hint="default"/>
        <w:lang w:val="ru-RU" w:eastAsia="ru-RU" w:bidi="ru-RU"/>
      </w:rPr>
    </w:lvl>
    <w:lvl w:ilvl="2" w:tplc="37F2941A">
      <w:numFmt w:val="bullet"/>
      <w:lvlText w:val="•"/>
      <w:lvlJc w:val="left"/>
      <w:pPr>
        <w:ind w:left="1941" w:hanging="281"/>
      </w:pPr>
      <w:rPr>
        <w:rFonts w:hint="default"/>
        <w:lang w:val="ru-RU" w:eastAsia="ru-RU" w:bidi="ru-RU"/>
      </w:rPr>
    </w:lvl>
    <w:lvl w:ilvl="3" w:tplc="3A042BC2">
      <w:numFmt w:val="bullet"/>
      <w:lvlText w:val="•"/>
      <w:lvlJc w:val="left"/>
      <w:pPr>
        <w:ind w:left="2902" w:hanging="281"/>
      </w:pPr>
      <w:rPr>
        <w:rFonts w:hint="default"/>
        <w:lang w:val="ru-RU" w:eastAsia="ru-RU" w:bidi="ru-RU"/>
      </w:rPr>
    </w:lvl>
    <w:lvl w:ilvl="4" w:tplc="412A68B2">
      <w:numFmt w:val="bullet"/>
      <w:lvlText w:val="•"/>
      <w:lvlJc w:val="left"/>
      <w:pPr>
        <w:ind w:left="3863" w:hanging="281"/>
      </w:pPr>
      <w:rPr>
        <w:rFonts w:hint="default"/>
        <w:lang w:val="ru-RU" w:eastAsia="ru-RU" w:bidi="ru-RU"/>
      </w:rPr>
    </w:lvl>
    <w:lvl w:ilvl="5" w:tplc="F3D02EDA">
      <w:numFmt w:val="bullet"/>
      <w:lvlText w:val="•"/>
      <w:lvlJc w:val="left"/>
      <w:pPr>
        <w:ind w:left="4824" w:hanging="281"/>
      </w:pPr>
      <w:rPr>
        <w:rFonts w:hint="default"/>
        <w:lang w:val="ru-RU" w:eastAsia="ru-RU" w:bidi="ru-RU"/>
      </w:rPr>
    </w:lvl>
    <w:lvl w:ilvl="6" w:tplc="AD644870">
      <w:numFmt w:val="bullet"/>
      <w:lvlText w:val="•"/>
      <w:lvlJc w:val="left"/>
      <w:pPr>
        <w:ind w:left="5785" w:hanging="281"/>
      </w:pPr>
      <w:rPr>
        <w:rFonts w:hint="default"/>
        <w:lang w:val="ru-RU" w:eastAsia="ru-RU" w:bidi="ru-RU"/>
      </w:rPr>
    </w:lvl>
    <w:lvl w:ilvl="7" w:tplc="56CAD524">
      <w:numFmt w:val="bullet"/>
      <w:lvlText w:val="•"/>
      <w:lvlJc w:val="left"/>
      <w:pPr>
        <w:ind w:left="6746" w:hanging="281"/>
      </w:pPr>
      <w:rPr>
        <w:rFonts w:hint="default"/>
        <w:lang w:val="ru-RU" w:eastAsia="ru-RU" w:bidi="ru-RU"/>
      </w:rPr>
    </w:lvl>
    <w:lvl w:ilvl="8" w:tplc="808AD64C">
      <w:numFmt w:val="bullet"/>
      <w:lvlText w:val="•"/>
      <w:lvlJc w:val="left"/>
      <w:pPr>
        <w:ind w:left="7707" w:hanging="281"/>
      </w:pPr>
      <w:rPr>
        <w:rFonts w:hint="default"/>
        <w:lang w:val="ru-RU" w:eastAsia="ru-RU" w:bidi="ru-RU"/>
      </w:rPr>
    </w:lvl>
  </w:abstractNum>
  <w:abstractNum w:abstractNumId="1" w15:restartNumberingAfterBreak="0">
    <w:nsid w:val="11715639"/>
    <w:multiLevelType w:val="hybridMultilevel"/>
    <w:tmpl w:val="204C7BC2"/>
    <w:lvl w:ilvl="0" w:tplc="1BF614A6">
      <w:start w:val="1"/>
      <w:numFmt w:val="decimal"/>
      <w:lvlText w:val="%1."/>
      <w:lvlJc w:val="left"/>
      <w:pPr>
        <w:ind w:left="26" w:hanging="329"/>
        <w:jc w:val="left"/>
      </w:pPr>
      <w:rPr>
        <w:rFonts w:ascii="Times New Roman" w:eastAsia="Times New Roman" w:hAnsi="Times New Roman" w:cs="Times New Roman" w:hint="default"/>
        <w:spacing w:val="-30"/>
        <w:w w:val="100"/>
        <w:sz w:val="24"/>
        <w:szCs w:val="24"/>
        <w:lang w:val="ru-RU" w:eastAsia="ru-RU" w:bidi="ru-RU"/>
      </w:rPr>
    </w:lvl>
    <w:lvl w:ilvl="1" w:tplc="77069C68">
      <w:numFmt w:val="bullet"/>
      <w:lvlText w:val="•"/>
      <w:lvlJc w:val="left"/>
      <w:pPr>
        <w:ind w:left="980" w:hanging="329"/>
      </w:pPr>
      <w:rPr>
        <w:rFonts w:hint="default"/>
        <w:lang w:val="ru-RU" w:eastAsia="ru-RU" w:bidi="ru-RU"/>
      </w:rPr>
    </w:lvl>
    <w:lvl w:ilvl="2" w:tplc="E05CCB62">
      <w:numFmt w:val="bullet"/>
      <w:lvlText w:val="•"/>
      <w:lvlJc w:val="left"/>
      <w:pPr>
        <w:ind w:left="1941" w:hanging="329"/>
      </w:pPr>
      <w:rPr>
        <w:rFonts w:hint="default"/>
        <w:lang w:val="ru-RU" w:eastAsia="ru-RU" w:bidi="ru-RU"/>
      </w:rPr>
    </w:lvl>
    <w:lvl w:ilvl="3" w:tplc="E412371A">
      <w:numFmt w:val="bullet"/>
      <w:lvlText w:val="•"/>
      <w:lvlJc w:val="left"/>
      <w:pPr>
        <w:ind w:left="2902" w:hanging="329"/>
      </w:pPr>
      <w:rPr>
        <w:rFonts w:hint="default"/>
        <w:lang w:val="ru-RU" w:eastAsia="ru-RU" w:bidi="ru-RU"/>
      </w:rPr>
    </w:lvl>
    <w:lvl w:ilvl="4" w:tplc="2E54BA60">
      <w:numFmt w:val="bullet"/>
      <w:lvlText w:val="•"/>
      <w:lvlJc w:val="left"/>
      <w:pPr>
        <w:ind w:left="3863" w:hanging="329"/>
      </w:pPr>
      <w:rPr>
        <w:rFonts w:hint="default"/>
        <w:lang w:val="ru-RU" w:eastAsia="ru-RU" w:bidi="ru-RU"/>
      </w:rPr>
    </w:lvl>
    <w:lvl w:ilvl="5" w:tplc="723A875E">
      <w:numFmt w:val="bullet"/>
      <w:lvlText w:val="•"/>
      <w:lvlJc w:val="left"/>
      <w:pPr>
        <w:ind w:left="4824" w:hanging="329"/>
      </w:pPr>
      <w:rPr>
        <w:rFonts w:hint="default"/>
        <w:lang w:val="ru-RU" w:eastAsia="ru-RU" w:bidi="ru-RU"/>
      </w:rPr>
    </w:lvl>
    <w:lvl w:ilvl="6" w:tplc="82B27F08">
      <w:numFmt w:val="bullet"/>
      <w:lvlText w:val="•"/>
      <w:lvlJc w:val="left"/>
      <w:pPr>
        <w:ind w:left="5785" w:hanging="329"/>
      </w:pPr>
      <w:rPr>
        <w:rFonts w:hint="default"/>
        <w:lang w:val="ru-RU" w:eastAsia="ru-RU" w:bidi="ru-RU"/>
      </w:rPr>
    </w:lvl>
    <w:lvl w:ilvl="7" w:tplc="E3A2762E">
      <w:numFmt w:val="bullet"/>
      <w:lvlText w:val="•"/>
      <w:lvlJc w:val="left"/>
      <w:pPr>
        <w:ind w:left="6746" w:hanging="329"/>
      </w:pPr>
      <w:rPr>
        <w:rFonts w:hint="default"/>
        <w:lang w:val="ru-RU" w:eastAsia="ru-RU" w:bidi="ru-RU"/>
      </w:rPr>
    </w:lvl>
    <w:lvl w:ilvl="8" w:tplc="2C340D8E">
      <w:numFmt w:val="bullet"/>
      <w:lvlText w:val="•"/>
      <w:lvlJc w:val="left"/>
      <w:pPr>
        <w:ind w:left="7707" w:hanging="329"/>
      </w:pPr>
      <w:rPr>
        <w:rFonts w:hint="default"/>
        <w:lang w:val="ru-RU" w:eastAsia="ru-RU" w:bidi="ru-RU"/>
      </w:rPr>
    </w:lvl>
  </w:abstractNum>
  <w:abstractNum w:abstractNumId="2" w15:restartNumberingAfterBreak="0">
    <w:nsid w:val="15964ECC"/>
    <w:multiLevelType w:val="multilevel"/>
    <w:tmpl w:val="47BC5E7C"/>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8"/>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3" w:hanging="420"/>
      </w:pPr>
      <w:rPr>
        <w:rFonts w:hint="default"/>
        <w:lang w:val="ru-RU" w:eastAsia="ru-RU" w:bidi="ru-RU"/>
      </w:rPr>
    </w:lvl>
    <w:lvl w:ilvl="7">
      <w:numFmt w:val="bullet"/>
      <w:lvlText w:val="•"/>
      <w:lvlJc w:val="left"/>
      <w:pPr>
        <w:ind w:left="6782" w:hanging="420"/>
      </w:pPr>
      <w:rPr>
        <w:rFonts w:hint="default"/>
        <w:lang w:val="ru-RU" w:eastAsia="ru-RU" w:bidi="ru-RU"/>
      </w:rPr>
    </w:lvl>
    <w:lvl w:ilvl="8">
      <w:numFmt w:val="bullet"/>
      <w:lvlText w:val="•"/>
      <w:lvlJc w:val="left"/>
      <w:pPr>
        <w:ind w:left="7731" w:hanging="420"/>
      </w:pPr>
      <w:rPr>
        <w:rFonts w:hint="default"/>
        <w:lang w:val="ru-RU" w:eastAsia="ru-RU" w:bidi="ru-RU"/>
      </w:rPr>
    </w:lvl>
  </w:abstractNum>
  <w:abstractNum w:abstractNumId="3" w15:restartNumberingAfterBreak="0">
    <w:nsid w:val="3A4473B5"/>
    <w:multiLevelType w:val="hybridMultilevel"/>
    <w:tmpl w:val="50543FD4"/>
    <w:lvl w:ilvl="0" w:tplc="71DC6B3A">
      <w:numFmt w:val="bullet"/>
      <w:lvlText w:val="-"/>
      <w:lvlJc w:val="left"/>
      <w:pPr>
        <w:ind w:left="26" w:hanging="238"/>
      </w:pPr>
      <w:rPr>
        <w:rFonts w:ascii="Times New Roman" w:eastAsia="Times New Roman" w:hAnsi="Times New Roman" w:cs="Times New Roman" w:hint="default"/>
        <w:spacing w:val="-25"/>
        <w:w w:val="99"/>
        <w:sz w:val="24"/>
        <w:szCs w:val="24"/>
        <w:lang w:val="ru-RU" w:eastAsia="ru-RU" w:bidi="ru-RU"/>
      </w:rPr>
    </w:lvl>
    <w:lvl w:ilvl="1" w:tplc="13CA9A26">
      <w:numFmt w:val="bullet"/>
      <w:lvlText w:val="•"/>
      <w:lvlJc w:val="left"/>
      <w:pPr>
        <w:ind w:left="981" w:hanging="238"/>
      </w:pPr>
      <w:rPr>
        <w:rFonts w:hint="default"/>
        <w:lang w:val="ru-RU" w:eastAsia="ru-RU" w:bidi="ru-RU"/>
      </w:rPr>
    </w:lvl>
    <w:lvl w:ilvl="2" w:tplc="4AD891DA">
      <w:numFmt w:val="bullet"/>
      <w:lvlText w:val="•"/>
      <w:lvlJc w:val="left"/>
      <w:pPr>
        <w:ind w:left="1942" w:hanging="238"/>
      </w:pPr>
      <w:rPr>
        <w:rFonts w:hint="default"/>
        <w:lang w:val="ru-RU" w:eastAsia="ru-RU" w:bidi="ru-RU"/>
      </w:rPr>
    </w:lvl>
    <w:lvl w:ilvl="3" w:tplc="BF129F42">
      <w:numFmt w:val="bullet"/>
      <w:lvlText w:val="•"/>
      <w:lvlJc w:val="left"/>
      <w:pPr>
        <w:ind w:left="2903" w:hanging="238"/>
      </w:pPr>
      <w:rPr>
        <w:rFonts w:hint="default"/>
        <w:lang w:val="ru-RU" w:eastAsia="ru-RU" w:bidi="ru-RU"/>
      </w:rPr>
    </w:lvl>
    <w:lvl w:ilvl="4" w:tplc="142AEF38">
      <w:numFmt w:val="bullet"/>
      <w:lvlText w:val="•"/>
      <w:lvlJc w:val="left"/>
      <w:pPr>
        <w:ind w:left="3864" w:hanging="238"/>
      </w:pPr>
      <w:rPr>
        <w:rFonts w:hint="default"/>
        <w:lang w:val="ru-RU" w:eastAsia="ru-RU" w:bidi="ru-RU"/>
      </w:rPr>
    </w:lvl>
    <w:lvl w:ilvl="5" w:tplc="F7C4DFA0">
      <w:numFmt w:val="bullet"/>
      <w:lvlText w:val="•"/>
      <w:lvlJc w:val="left"/>
      <w:pPr>
        <w:ind w:left="4825" w:hanging="238"/>
      </w:pPr>
      <w:rPr>
        <w:rFonts w:hint="default"/>
        <w:lang w:val="ru-RU" w:eastAsia="ru-RU" w:bidi="ru-RU"/>
      </w:rPr>
    </w:lvl>
    <w:lvl w:ilvl="6" w:tplc="A7923DCA">
      <w:numFmt w:val="bullet"/>
      <w:lvlText w:val="•"/>
      <w:lvlJc w:val="left"/>
      <w:pPr>
        <w:ind w:left="5786" w:hanging="238"/>
      </w:pPr>
      <w:rPr>
        <w:rFonts w:hint="default"/>
        <w:lang w:val="ru-RU" w:eastAsia="ru-RU" w:bidi="ru-RU"/>
      </w:rPr>
    </w:lvl>
    <w:lvl w:ilvl="7" w:tplc="E2927548">
      <w:numFmt w:val="bullet"/>
      <w:lvlText w:val="•"/>
      <w:lvlJc w:val="left"/>
      <w:pPr>
        <w:ind w:left="6747" w:hanging="238"/>
      </w:pPr>
      <w:rPr>
        <w:rFonts w:hint="default"/>
        <w:lang w:val="ru-RU" w:eastAsia="ru-RU" w:bidi="ru-RU"/>
      </w:rPr>
    </w:lvl>
    <w:lvl w:ilvl="8" w:tplc="DEDC2A6E">
      <w:numFmt w:val="bullet"/>
      <w:lvlText w:val="•"/>
      <w:lvlJc w:val="left"/>
      <w:pPr>
        <w:ind w:left="7708" w:hanging="238"/>
      </w:pPr>
      <w:rPr>
        <w:rFonts w:hint="default"/>
        <w:lang w:val="ru-RU" w:eastAsia="ru-RU" w:bidi="ru-RU"/>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916D6"/>
    <w:rsid w:val="001B0AAF"/>
    <w:rsid w:val="006B7350"/>
    <w:rsid w:val="008916D6"/>
    <w:rsid w:val="00A1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6A417-F694-427C-BC59-EC4B2A36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7067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70670"/>
    <w:tblPr>
      <w:tblInd w:w="0" w:type="dxa"/>
      <w:tblCellMar>
        <w:top w:w="0" w:type="dxa"/>
        <w:left w:w="0" w:type="dxa"/>
        <w:bottom w:w="0" w:type="dxa"/>
        <w:right w:w="0" w:type="dxa"/>
      </w:tblCellMar>
    </w:tblPr>
  </w:style>
  <w:style w:type="paragraph" w:styleId="a3">
    <w:name w:val="Body Text"/>
    <w:basedOn w:val="a"/>
    <w:uiPriority w:val="1"/>
    <w:qFormat/>
    <w:rsid w:val="00D70670"/>
    <w:rPr>
      <w:b/>
      <w:bCs/>
      <w:sz w:val="24"/>
      <w:szCs w:val="24"/>
    </w:rPr>
  </w:style>
  <w:style w:type="paragraph" w:styleId="a4">
    <w:name w:val="List Paragraph"/>
    <w:basedOn w:val="a"/>
    <w:uiPriority w:val="1"/>
    <w:qFormat/>
    <w:rsid w:val="00D70670"/>
  </w:style>
  <w:style w:type="paragraph" w:customStyle="1" w:styleId="TableParagraph">
    <w:name w:val="Table Paragraph"/>
    <w:basedOn w:val="a"/>
    <w:uiPriority w:val="1"/>
    <w:qFormat/>
    <w:rsid w:val="00D70670"/>
    <w:pPr>
      <w:ind w:left="26"/>
    </w:pPr>
  </w:style>
  <w:style w:type="paragraph" w:styleId="a5">
    <w:name w:val="header"/>
    <w:basedOn w:val="a"/>
    <w:link w:val="a6"/>
    <w:uiPriority w:val="99"/>
    <w:unhideWhenUsed/>
    <w:rsid w:val="008E0C05"/>
    <w:pPr>
      <w:tabs>
        <w:tab w:val="center" w:pos="4677"/>
        <w:tab w:val="right" w:pos="9355"/>
      </w:tabs>
    </w:pPr>
  </w:style>
  <w:style w:type="character" w:customStyle="1" w:styleId="a6">
    <w:name w:val="Верхний колонтитул Знак"/>
    <w:basedOn w:val="a0"/>
    <w:link w:val="a5"/>
    <w:uiPriority w:val="99"/>
    <w:rsid w:val="008E0C05"/>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8E0C05"/>
    <w:pPr>
      <w:tabs>
        <w:tab w:val="center" w:pos="4677"/>
        <w:tab w:val="right" w:pos="9355"/>
      </w:tabs>
    </w:pPr>
  </w:style>
  <w:style w:type="character" w:customStyle="1" w:styleId="a8">
    <w:name w:val="Нижний колонтитул Знак"/>
    <w:basedOn w:val="a0"/>
    <w:link w:val="a7"/>
    <w:uiPriority w:val="99"/>
    <w:semiHidden/>
    <w:rsid w:val="008E0C05"/>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10</cp:revision>
  <dcterms:created xsi:type="dcterms:W3CDTF">2019-12-28T10:48:00Z</dcterms:created>
  <dcterms:modified xsi:type="dcterms:W3CDTF">2020-01-20T13:14:00Z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2016</vt:lpwstr>
  </property>
  <property fmtid="{D5CDD505-2E9C-101B-9397-08002B2CF9AE}" pid="4" name="LastSaved">
    <vt:filetime>2019-12-28T00:00:00Z</vt:filetime>
  </property>
</Properties>
</file>